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CE" w:rsidRDefault="00E113CE" w:rsidP="00F16FE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VIІI.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Взаємовідносини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бюджету</w:t>
      </w:r>
      <w:r w:rsidR="00F16FE0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F16FE0">
        <w:rPr>
          <w:b/>
          <w:bCs/>
          <w:color w:val="000000"/>
          <w:sz w:val="28"/>
          <w:szCs w:val="28"/>
          <w:lang w:val="ru-RU"/>
        </w:rPr>
        <w:t>Лубенської</w:t>
      </w:r>
      <w:proofErr w:type="spellEnd"/>
      <w:r w:rsidR="00F16FE0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F16FE0">
        <w:rPr>
          <w:b/>
          <w:bCs/>
          <w:color w:val="000000"/>
          <w:sz w:val="28"/>
          <w:szCs w:val="28"/>
          <w:lang w:val="ru-RU"/>
        </w:rPr>
        <w:t>міської</w:t>
      </w:r>
      <w:proofErr w:type="spellEnd"/>
      <w:r w:rsidR="00F16FE0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F16FE0">
        <w:rPr>
          <w:b/>
          <w:bCs/>
          <w:color w:val="000000"/>
          <w:sz w:val="28"/>
          <w:szCs w:val="28"/>
          <w:lang w:val="ru-RU"/>
        </w:rPr>
        <w:t>територіальної</w:t>
      </w:r>
      <w:proofErr w:type="spellEnd"/>
      <w:r w:rsidR="00F16FE0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F16FE0">
        <w:rPr>
          <w:b/>
          <w:bCs/>
          <w:color w:val="000000"/>
          <w:sz w:val="28"/>
          <w:szCs w:val="28"/>
          <w:lang w:val="ru-RU"/>
        </w:rPr>
        <w:t>громади</w:t>
      </w:r>
      <w:proofErr w:type="spellEnd"/>
      <w:r w:rsidR="00F16FE0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з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іншими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бюджетами</w:t>
      </w:r>
    </w:p>
    <w:p w:rsidR="00E113CE" w:rsidRDefault="00E113CE" w:rsidP="00E113C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ru-RU"/>
        </w:rPr>
      </w:pPr>
    </w:p>
    <w:p w:rsidR="00E113CE" w:rsidRDefault="00E113C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ru-RU"/>
        </w:rPr>
        <w:t xml:space="preserve">           </w:t>
      </w:r>
      <w:proofErr w:type="spellStart"/>
      <w:r>
        <w:rPr>
          <w:color w:val="000000"/>
          <w:sz w:val="28"/>
          <w:szCs w:val="28"/>
          <w:lang w:val="ru-RU"/>
        </w:rPr>
        <w:t>Обсяги</w:t>
      </w:r>
      <w:proofErr w:type="spellEnd"/>
      <w:r>
        <w:rPr>
          <w:color w:val="000000"/>
          <w:sz w:val="28"/>
          <w:szCs w:val="28"/>
          <w:lang w:val="ru-RU"/>
        </w:rPr>
        <w:t xml:space="preserve">    </w:t>
      </w:r>
      <w:proofErr w:type="spellStart"/>
      <w:r>
        <w:rPr>
          <w:color w:val="000000"/>
          <w:sz w:val="28"/>
          <w:szCs w:val="28"/>
          <w:lang w:val="ru-RU"/>
        </w:rPr>
        <w:t>міжбюджетних</w:t>
      </w:r>
      <w:proofErr w:type="spellEnd"/>
      <w:r>
        <w:rPr>
          <w:color w:val="000000"/>
          <w:sz w:val="28"/>
          <w:szCs w:val="28"/>
          <w:lang w:val="ru-RU"/>
        </w:rPr>
        <w:t xml:space="preserve">    </w:t>
      </w:r>
      <w:proofErr w:type="spellStart"/>
      <w:r>
        <w:rPr>
          <w:color w:val="000000"/>
          <w:sz w:val="28"/>
          <w:szCs w:val="28"/>
          <w:lang w:val="ru-RU"/>
        </w:rPr>
        <w:t>трансфертів</w:t>
      </w:r>
      <w:proofErr w:type="spellEnd"/>
      <w:r>
        <w:rPr>
          <w:color w:val="000000"/>
          <w:sz w:val="28"/>
          <w:szCs w:val="28"/>
          <w:lang w:val="ru-RU"/>
        </w:rPr>
        <w:t xml:space="preserve">  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  державного бюджету   для бюджету   </w:t>
      </w:r>
      <w:proofErr w:type="spellStart"/>
      <w:r>
        <w:rPr>
          <w:color w:val="000000"/>
          <w:sz w:val="28"/>
          <w:szCs w:val="28"/>
          <w:lang w:val="ru-RU"/>
        </w:rPr>
        <w:t>Лубенської</w:t>
      </w:r>
      <w:proofErr w:type="spellEnd"/>
      <w:r>
        <w:rPr>
          <w:color w:val="000000"/>
          <w:sz w:val="28"/>
          <w:szCs w:val="28"/>
          <w:lang w:val="ru-RU"/>
        </w:rPr>
        <w:t xml:space="preserve">  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  </w:t>
      </w:r>
      <w:proofErr w:type="spellStart"/>
      <w:r>
        <w:rPr>
          <w:color w:val="000000"/>
          <w:sz w:val="28"/>
          <w:szCs w:val="28"/>
          <w:lang w:val="ru-RU"/>
        </w:rPr>
        <w:t>територіальної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   на   202</w:t>
      </w:r>
      <w:r w:rsidR="002F36A2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>-202</w:t>
      </w:r>
      <w:r w:rsidR="002F36A2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роки   (</w:t>
      </w:r>
      <w:proofErr w:type="spellStart"/>
      <w:r>
        <w:rPr>
          <w:color w:val="000000"/>
          <w:sz w:val="28"/>
          <w:szCs w:val="28"/>
          <w:lang w:val="ru-RU"/>
        </w:rPr>
        <w:t>освітня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субвенція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базова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дотація</w:t>
      </w:r>
      <w:proofErr w:type="spellEnd"/>
      <w:r>
        <w:rPr>
          <w:color w:val="000000"/>
          <w:sz w:val="28"/>
          <w:szCs w:val="28"/>
          <w:lang w:val="ru-RU"/>
        </w:rPr>
        <w:t xml:space="preserve">)  </w:t>
      </w:r>
      <w:proofErr w:type="spellStart"/>
      <w:r>
        <w:rPr>
          <w:color w:val="000000"/>
          <w:sz w:val="28"/>
          <w:szCs w:val="28"/>
          <w:lang w:val="ru-RU"/>
        </w:rPr>
        <w:t>передбачаються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п</w:t>
      </w:r>
      <w:proofErr w:type="gramEnd"/>
      <w:r>
        <w:rPr>
          <w:color w:val="000000"/>
          <w:sz w:val="28"/>
          <w:szCs w:val="28"/>
          <w:lang w:val="ru-RU"/>
        </w:rPr>
        <w:t>ідставі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Бюджетної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декларації</w:t>
      </w:r>
      <w:proofErr w:type="spellEnd"/>
      <w:r>
        <w:rPr>
          <w:color w:val="000000"/>
          <w:sz w:val="28"/>
          <w:szCs w:val="28"/>
          <w:lang w:val="ru-RU"/>
        </w:rPr>
        <w:t xml:space="preserve">,   </w:t>
      </w:r>
      <w:proofErr w:type="spellStart"/>
      <w:r>
        <w:rPr>
          <w:color w:val="000000"/>
          <w:sz w:val="28"/>
          <w:szCs w:val="28"/>
          <w:lang w:val="ru-RU"/>
        </w:rPr>
        <w:t>прийнятої</w:t>
      </w:r>
      <w:proofErr w:type="spellEnd"/>
      <w:r>
        <w:rPr>
          <w:color w:val="000000"/>
          <w:sz w:val="28"/>
          <w:szCs w:val="28"/>
          <w:lang w:val="ru-RU"/>
        </w:rPr>
        <w:t xml:space="preserve">   </w:t>
      </w:r>
      <w:proofErr w:type="spellStart"/>
      <w:r w:rsidR="002F36A2">
        <w:rPr>
          <w:color w:val="000000"/>
          <w:sz w:val="28"/>
          <w:szCs w:val="28"/>
          <w:lang w:val="ru-RU"/>
        </w:rPr>
        <w:t>постановою</w:t>
      </w:r>
      <w:proofErr w:type="spellEnd"/>
      <w:r w:rsidR="002F36A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36A2">
        <w:rPr>
          <w:color w:val="000000"/>
          <w:sz w:val="28"/>
          <w:szCs w:val="28"/>
          <w:lang w:val="ru-RU"/>
        </w:rPr>
        <w:t>Кабінету</w:t>
      </w:r>
      <w:proofErr w:type="spellEnd"/>
      <w:r w:rsidR="002F36A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36A2">
        <w:rPr>
          <w:color w:val="000000"/>
          <w:sz w:val="28"/>
          <w:szCs w:val="28"/>
          <w:lang w:val="ru-RU"/>
        </w:rPr>
        <w:t>Міністрів</w:t>
      </w:r>
      <w:proofErr w:type="spellEnd"/>
      <w:r w:rsidR="002F36A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36A2">
        <w:rPr>
          <w:color w:val="000000"/>
          <w:sz w:val="28"/>
          <w:szCs w:val="28"/>
          <w:lang w:val="ru-RU"/>
        </w:rPr>
        <w:t>України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2F36A2">
        <w:rPr>
          <w:color w:val="000000"/>
          <w:sz w:val="28"/>
          <w:szCs w:val="28"/>
          <w:lang w:val="ru-RU"/>
        </w:rPr>
        <w:t>від</w:t>
      </w:r>
      <w:proofErr w:type="spellEnd"/>
      <w:r w:rsidR="002F36A2">
        <w:rPr>
          <w:color w:val="000000"/>
          <w:sz w:val="28"/>
          <w:szCs w:val="28"/>
          <w:lang w:val="ru-RU"/>
        </w:rPr>
        <w:t xml:space="preserve"> </w:t>
      </w:r>
      <w:r w:rsidR="00403708">
        <w:rPr>
          <w:color w:val="000000"/>
          <w:sz w:val="28"/>
          <w:szCs w:val="28"/>
          <w:lang w:val="ru-RU"/>
        </w:rPr>
        <w:t xml:space="preserve">            </w:t>
      </w:r>
      <w:r w:rsidR="002F36A2">
        <w:rPr>
          <w:color w:val="000000"/>
          <w:sz w:val="28"/>
          <w:szCs w:val="28"/>
          <w:lang w:val="ru-RU"/>
        </w:rPr>
        <w:t xml:space="preserve">27 </w:t>
      </w:r>
      <w:proofErr w:type="spellStart"/>
      <w:r w:rsidR="002F36A2">
        <w:rPr>
          <w:color w:val="000000"/>
          <w:sz w:val="28"/>
          <w:szCs w:val="28"/>
          <w:lang w:val="ru-RU"/>
        </w:rPr>
        <w:t>червня</w:t>
      </w:r>
      <w:proofErr w:type="spellEnd"/>
      <w:r w:rsidR="002F36A2">
        <w:rPr>
          <w:color w:val="000000"/>
          <w:sz w:val="28"/>
          <w:szCs w:val="28"/>
          <w:lang w:val="ru-RU"/>
        </w:rPr>
        <w:t xml:space="preserve"> 2025</w:t>
      </w:r>
      <w:r>
        <w:rPr>
          <w:color w:val="000000"/>
          <w:sz w:val="28"/>
          <w:szCs w:val="28"/>
          <w:lang w:val="ru-RU"/>
        </w:rPr>
        <w:t xml:space="preserve"> року</w:t>
      </w:r>
      <w:r w:rsidR="002F36A2">
        <w:rPr>
          <w:color w:val="000000"/>
          <w:sz w:val="28"/>
          <w:szCs w:val="28"/>
          <w:lang w:val="ru-RU"/>
        </w:rPr>
        <w:t xml:space="preserve"> № 774</w:t>
      </w:r>
      <w:r>
        <w:rPr>
          <w:color w:val="000000"/>
          <w:sz w:val="28"/>
          <w:szCs w:val="28"/>
          <w:lang w:val="ru-RU"/>
        </w:rPr>
        <w:t xml:space="preserve"> (</w:t>
      </w:r>
      <w:proofErr w:type="spellStart"/>
      <w:r>
        <w:rPr>
          <w:color w:val="000000"/>
          <w:sz w:val="28"/>
          <w:szCs w:val="28"/>
          <w:lang w:val="ru-RU"/>
        </w:rPr>
        <w:t>додаток</w:t>
      </w:r>
      <w:proofErr w:type="spellEnd"/>
      <w:r>
        <w:rPr>
          <w:color w:val="000000"/>
          <w:sz w:val="28"/>
          <w:szCs w:val="28"/>
          <w:lang w:val="ru-RU"/>
        </w:rPr>
        <w:t xml:space="preserve"> 1</w:t>
      </w:r>
      <w:r w:rsidR="00682B32">
        <w:rPr>
          <w:color w:val="000000"/>
          <w:sz w:val="28"/>
          <w:szCs w:val="28"/>
          <w:lang w:val="ru-RU"/>
        </w:rPr>
        <w:t>0,1</w:t>
      </w:r>
      <w:r>
        <w:rPr>
          <w:color w:val="000000"/>
          <w:sz w:val="28"/>
          <w:szCs w:val="28"/>
          <w:lang w:val="ru-RU"/>
        </w:rPr>
        <w:t xml:space="preserve">1).  </w:t>
      </w:r>
    </w:p>
    <w:p w:rsidR="00E113CE" w:rsidRDefault="00E113CE" w:rsidP="00311680">
      <w:pPr>
        <w:autoSpaceDE w:val="0"/>
        <w:autoSpaceDN w:val="0"/>
        <w:adjustRightInd w:val="0"/>
        <w:ind w:firstLine="705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ru-RU"/>
        </w:rPr>
        <w:t>Горизонтальне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вирівнювання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податкоспроможності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місцевих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бюджетів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здійснюватиметься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відповідно</w:t>
      </w:r>
      <w:proofErr w:type="spellEnd"/>
      <w:r>
        <w:rPr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color w:val="000000"/>
          <w:sz w:val="28"/>
          <w:szCs w:val="28"/>
          <w:lang w:val="ru-RU"/>
        </w:rPr>
        <w:t>положень</w:t>
      </w:r>
      <w:proofErr w:type="spellEnd"/>
      <w:r>
        <w:rPr>
          <w:color w:val="000000"/>
          <w:sz w:val="28"/>
          <w:szCs w:val="28"/>
          <w:lang w:val="ru-RU"/>
        </w:rPr>
        <w:t xml:space="preserve"> статей 98-100, пункту 24</w:t>
      </w:r>
      <w:r>
        <w:rPr>
          <w:color w:val="000000"/>
          <w:sz w:val="28"/>
          <w:szCs w:val="28"/>
          <w:vertAlign w:val="superscript"/>
          <w:lang w:val="ru-RU"/>
        </w:rPr>
        <w:t>2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розділу</w:t>
      </w:r>
      <w:proofErr w:type="spellEnd"/>
      <w:r>
        <w:rPr>
          <w:color w:val="000000"/>
          <w:sz w:val="28"/>
          <w:szCs w:val="28"/>
          <w:lang w:val="ru-RU"/>
        </w:rPr>
        <w:t xml:space="preserve"> VI  «</w:t>
      </w:r>
      <w:proofErr w:type="spellStart"/>
      <w:r>
        <w:rPr>
          <w:color w:val="000000"/>
          <w:sz w:val="28"/>
          <w:szCs w:val="28"/>
          <w:lang w:val="ru-RU"/>
        </w:rPr>
        <w:t>Прикінцеві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перехідні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положення</w:t>
      </w:r>
      <w:proofErr w:type="spellEnd"/>
      <w:r>
        <w:rPr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Бюджетного</w:t>
      </w:r>
      <w:proofErr w:type="gramEnd"/>
      <w:r>
        <w:rPr>
          <w:color w:val="000000"/>
          <w:sz w:val="28"/>
          <w:szCs w:val="28"/>
        </w:rPr>
        <w:t xml:space="preserve"> кодексу</w:t>
      </w:r>
      <w:r w:rsidR="003116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11680">
        <w:rPr>
          <w:color w:val="000000"/>
          <w:sz w:val="28"/>
          <w:szCs w:val="28"/>
          <w:lang w:val="ru-RU"/>
        </w:rPr>
        <w:t>Укра</w:t>
      </w:r>
      <w:r w:rsidR="00311680">
        <w:rPr>
          <w:color w:val="000000"/>
          <w:sz w:val="28"/>
          <w:szCs w:val="28"/>
        </w:rPr>
        <w:t>їни</w:t>
      </w:r>
      <w:proofErr w:type="spellEnd"/>
      <w:r>
        <w:rPr>
          <w:color w:val="000000"/>
          <w:sz w:val="28"/>
          <w:szCs w:val="28"/>
        </w:rPr>
        <w:t>, а саме для:</w:t>
      </w:r>
    </w:p>
    <w:p w:rsidR="00E113CE" w:rsidRDefault="00E113CE" w:rsidP="00E113C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 обласних бюджетів;</w:t>
      </w:r>
    </w:p>
    <w:p w:rsidR="00E113CE" w:rsidRDefault="00E113CE" w:rsidP="00E113C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1 438 бюджетів територіальних громад.</w:t>
      </w:r>
    </w:p>
    <w:p w:rsidR="00E113CE" w:rsidRDefault="00E113C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</w:t>
      </w:r>
      <w:proofErr w:type="spellStart"/>
      <w:r>
        <w:rPr>
          <w:color w:val="000000"/>
          <w:sz w:val="28"/>
          <w:szCs w:val="28"/>
          <w:lang w:val="ru-RU"/>
        </w:rPr>
        <w:t>Міжбюджетні</w:t>
      </w:r>
      <w:proofErr w:type="spellEnd"/>
      <w:r>
        <w:rPr>
          <w:color w:val="000000"/>
          <w:sz w:val="28"/>
          <w:szCs w:val="28"/>
          <w:lang w:val="ru-RU"/>
        </w:rPr>
        <w:t xml:space="preserve">    </w:t>
      </w:r>
      <w:proofErr w:type="spellStart"/>
      <w:r>
        <w:rPr>
          <w:color w:val="000000"/>
          <w:sz w:val="28"/>
          <w:szCs w:val="28"/>
          <w:lang w:val="ru-RU"/>
        </w:rPr>
        <w:t>трансферти</w:t>
      </w:r>
      <w:proofErr w:type="spellEnd"/>
      <w:r>
        <w:rPr>
          <w:color w:val="000000"/>
          <w:sz w:val="28"/>
          <w:szCs w:val="28"/>
          <w:lang w:val="ru-RU"/>
        </w:rPr>
        <w:t xml:space="preserve">     </w:t>
      </w:r>
      <w:proofErr w:type="spellStart"/>
      <w:r>
        <w:rPr>
          <w:color w:val="000000"/>
          <w:sz w:val="28"/>
          <w:szCs w:val="28"/>
          <w:lang w:val="ru-RU"/>
        </w:rPr>
        <w:t>мають</w:t>
      </w:r>
      <w:proofErr w:type="spellEnd"/>
      <w:r>
        <w:rPr>
          <w:color w:val="000000"/>
          <w:sz w:val="28"/>
          <w:szCs w:val="28"/>
          <w:lang w:val="ru-RU"/>
        </w:rPr>
        <w:t xml:space="preserve">     </w:t>
      </w:r>
      <w:proofErr w:type="spellStart"/>
      <w:r>
        <w:rPr>
          <w:color w:val="000000"/>
          <w:sz w:val="28"/>
          <w:szCs w:val="28"/>
          <w:lang w:val="ru-RU"/>
        </w:rPr>
        <w:t>цільове</w:t>
      </w:r>
      <w:proofErr w:type="spellEnd"/>
      <w:r>
        <w:rPr>
          <w:color w:val="000000"/>
          <w:sz w:val="28"/>
          <w:szCs w:val="28"/>
          <w:lang w:val="ru-RU"/>
        </w:rPr>
        <w:t xml:space="preserve">       </w:t>
      </w:r>
      <w:proofErr w:type="spellStart"/>
      <w:r>
        <w:rPr>
          <w:color w:val="000000"/>
          <w:sz w:val="28"/>
          <w:szCs w:val="28"/>
          <w:lang w:val="ru-RU"/>
        </w:rPr>
        <w:t>спрямування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використовуються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відповідно</w:t>
      </w:r>
      <w:proofErr w:type="spellEnd"/>
      <w:r>
        <w:rPr>
          <w:color w:val="000000"/>
          <w:sz w:val="28"/>
          <w:szCs w:val="28"/>
          <w:lang w:val="ru-RU"/>
        </w:rPr>
        <w:t xml:space="preserve">  до  </w:t>
      </w:r>
      <w:proofErr w:type="spellStart"/>
      <w:r>
        <w:rPr>
          <w:color w:val="000000"/>
          <w:sz w:val="28"/>
          <w:szCs w:val="28"/>
          <w:lang w:val="ru-RU"/>
        </w:rPr>
        <w:t>порядків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їх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використання</w:t>
      </w:r>
      <w:proofErr w:type="spellEnd"/>
      <w:r>
        <w:rPr>
          <w:color w:val="000000"/>
          <w:sz w:val="28"/>
          <w:szCs w:val="28"/>
          <w:lang w:val="ru-RU"/>
        </w:rPr>
        <w:t xml:space="preserve">.  </w:t>
      </w:r>
    </w:p>
    <w:p w:rsidR="00E113CE" w:rsidRDefault="00E113C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</w:t>
      </w:r>
      <w:proofErr w:type="spellStart"/>
      <w:r>
        <w:rPr>
          <w:color w:val="000000"/>
          <w:sz w:val="28"/>
          <w:szCs w:val="28"/>
          <w:lang w:val="ru-RU"/>
        </w:rPr>
        <w:t>Темпи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зростання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обсягів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базової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дотації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державного бюджету </w:t>
      </w:r>
      <w:proofErr w:type="spellStart"/>
      <w:r>
        <w:rPr>
          <w:color w:val="000000"/>
          <w:sz w:val="28"/>
          <w:szCs w:val="28"/>
          <w:lang w:val="ru-RU"/>
        </w:rPr>
        <w:t>становлять</w:t>
      </w:r>
      <w:proofErr w:type="spellEnd"/>
      <w:r>
        <w:rPr>
          <w:color w:val="000000"/>
          <w:sz w:val="28"/>
          <w:szCs w:val="28"/>
          <w:lang w:val="ru-RU"/>
        </w:rPr>
        <w:t xml:space="preserve"> на 202</w:t>
      </w:r>
      <w:r w:rsidR="00A23683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р</w:t>
      </w:r>
      <w:proofErr w:type="gramEnd"/>
      <w:r>
        <w:rPr>
          <w:color w:val="000000"/>
          <w:sz w:val="28"/>
          <w:szCs w:val="28"/>
          <w:lang w:val="ru-RU"/>
        </w:rPr>
        <w:t>ік</w:t>
      </w:r>
      <w:proofErr w:type="spellEnd"/>
      <w:r>
        <w:rPr>
          <w:color w:val="000000"/>
          <w:sz w:val="28"/>
          <w:szCs w:val="28"/>
          <w:lang w:val="ru-RU"/>
        </w:rPr>
        <w:t xml:space="preserve"> до плану 202</w:t>
      </w:r>
      <w:r w:rsidR="00A23683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 xml:space="preserve"> року – 93,1%, на 202</w:t>
      </w:r>
      <w:r w:rsidR="00A23683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рік</w:t>
      </w:r>
      <w:proofErr w:type="spellEnd"/>
      <w:r>
        <w:rPr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color w:val="000000"/>
          <w:sz w:val="28"/>
          <w:szCs w:val="28"/>
          <w:lang w:val="ru-RU"/>
        </w:rPr>
        <w:t>проєкту</w:t>
      </w:r>
      <w:proofErr w:type="spellEnd"/>
      <w:r>
        <w:rPr>
          <w:color w:val="000000"/>
          <w:sz w:val="28"/>
          <w:szCs w:val="28"/>
          <w:lang w:val="ru-RU"/>
        </w:rPr>
        <w:t xml:space="preserve"> 202</w:t>
      </w:r>
      <w:r w:rsidR="00A23683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 року – 118,</w:t>
      </w:r>
      <w:r w:rsidR="00313F6E">
        <w:rPr>
          <w:color w:val="000000"/>
          <w:sz w:val="28"/>
          <w:szCs w:val="28"/>
          <w:lang w:val="ru-RU"/>
        </w:rPr>
        <w:t>0</w:t>
      </w:r>
      <w:r w:rsidR="00A23683">
        <w:rPr>
          <w:color w:val="000000"/>
          <w:sz w:val="28"/>
          <w:szCs w:val="28"/>
          <w:lang w:val="ru-RU"/>
        </w:rPr>
        <w:t xml:space="preserve"> %.</w:t>
      </w:r>
    </w:p>
    <w:p w:rsidR="00E113CE" w:rsidRDefault="00E113C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</w:t>
      </w:r>
      <w:proofErr w:type="spellStart"/>
      <w:r>
        <w:rPr>
          <w:color w:val="000000"/>
          <w:sz w:val="28"/>
          <w:szCs w:val="28"/>
          <w:lang w:val="ru-RU"/>
        </w:rPr>
        <w:t>Найбільшу</w:t>
      </w:r>
      <w:proofErr w:type="spellEnd"/>
      <w:r>
        <w:rPr>
          <w:color w:val="000000"/>
          <w:sz w:val="28"/>
          <w:szCs w:val="28"/>
          <w:lang w:val="ru-RU"/>
        </w:rPr>
        <w:t xml:space="preserve">  питому вагу у </w:t>
      </w:r>
      <w:proofErr w:type="spellStart"/>
      <w:r>
        <w:rPr>
          <w:color w:val="000000"/>
          <w:sz w:val="28"/>
          <w:szCs w:val="28"/>
          <w:lang w:val="ru-RU"/>
        </w:rPr>
        <w:t>обсязі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міжбюджетних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трансферті</w:t>
      </w:r>
      <w:proofErr w:type="gramStart"/>
      <w:r>
        <w:rPr>
          <w:color w:val="000000"/>
          <w:sz w:val="28"/>
          <w:szCs w:val="28"/>
          <w:lang w:val="ru-RU"/>
        </w:rPr>
        <w:t>в</w:t>
      </w:r>
      <w:proofErr w:type="spellEnd"/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займає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освітня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субвенція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державного бюджету.</w:t>
      </w:r>
    </w:p>
    <w:p w:rsidR="00E113CE" w:rsidRDefault="00E113C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proofErr w:type="spellStart"/>
      <w:r>
        <w:rPr>
          <w:color w:val="000000"/>
          <w:sz w:val="28"/>
          <w:szCs w:val="28"/>
          <w:lang w:val="ru-RU"/>
        </w:rPr>
        <w:t>Темпи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зростання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обсягів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освітньої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субвенції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державного бюджету </w:t>
      </w:r>
      <w:proofErr w:type="spellStart"/>
      <w:r>
        <w:rPr>
          <w:color w:val="000000"/>
          <w:sz w:val="28"/>
          <w:szCs w:val="28"/>
          <w:lang w:val="ru-RU"/>
        </w:rPr>
        <w:t>становлять</w:t>
      </w:r>
      <w:proofErr w:type="spellEnd"/>
      <w:r>
        <w:rPr>
          <w:color w:val="000000"/>
          <w:sz w:val="28"/>
          <w:szCs w:val="28"/>
          <w:lang w:val="ru-RU"/>
        </w:rPr>
        <w:t xml:space="preserve"> на 202</w:t>
      </w:r>
      <w:r w:rsidR="00A23683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р</w:t>
      </w:r>
      <w:proofErr w:type="gramEnd"/>
      <w:r>
        <w:rPr>
          <w:color w:val="000000"/>
          <w:sz w:val="28"/>
          <w:szCs w:val="28"/>
          <w:lang w:val="ru-RU"/>
        </w:rPr>
        <w:t>ік</w:t>
      </w:r>
      <w:proofErr w:type="spellEnd"/>
      <w:r>
        <w:rPr>
          <w:color w:val="000000"/>
          <w:sz w:val="28"/>
          <w:szCs w:val="28"/>
          <w:lang w:val="ru-RU"/>
        </w:rPr>
        <w:t xml:space="preserve"> до плану 202</w:t>
      </w:r>
      <w:r w:rsidR="00A23683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 xml:space="preserve"> року – 1</w:t>
      </w:r>
      <w:r w:rsidR="00A23683">
        <w:rPr>
          <w:color w:val="000000"/>
          <w:sz w:val="28"/>
          <w:szCs w:val="28"/>
          <w:lang w:val="ru-RU"/>
        </w:rPr>
        <w:t>64,2</w:t>
      </w:r>
      <w:r>
        <w:rPr>
          <w:color w:val="000000"/>
          <w:sz w:val="28"/>
          <w:szCs w:val="28"/>
          <w:lang w:val="ru-RU"/>
        </w:rPr>
        <w:t>%, на 202</w:t>
      </w:r>
      <w:r w:rsidR="00A23683">
        <w:rPr>
          <w:color w:val="000000"/>
          <w:sz w:val="28"/>
          <w:szCs w:val="28"/>
          <w:lang w:val="ru-RU"/>
        </w:rPr>
        <w:t>7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рік</w:t>
      </w:r>
      <w:proofErr w:type="spellEnd"/>
      <w:r>
        <w:rPr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color w:val="000000"/>
          <w:sz w:val="28"/>
          <w:szCs w:val="28"/>
          <w:lang w:val="ru-RU"/>
        </w:rPr>
        <w:t>проєкту</w:t>
      </w:r>
      <w:proofErr w:type="spellEnd"/>
      <w:r>
        <w:rPr>
          <w:color w:val="000000"/>
          <w:sz w:val="28"/>
          <w:szCs w:val="28"/>
          <w:lang w:val="ru-RU"/>
        </w:rPr>
        <w:t xml:space="preserve"> 202</w:t>
      </w:r>
      <w:r w:rsidR="00A23683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 року – 10</w:t>
      </w:r>
      <w:r w:rsidR="00A23683">
        <w:rPr>
          <w:color w:val="000000"/>
          <w:sz w:val="28"/>
          <w:szCs w:val="28"/>
          <w:lang w:val="ru-RU"/>
        </w:rPr>
        <w:t>7,9</w:t>
      </w:r>
      <w:r>
        <w:rPr>
          <w:color w:val="000000"/>
          <w:sz w:val="28"/>
          <w:szCs w:val="28"/>
          <w:lang w:val="ru-RU"/>
        </w:rPr>
        <w:t xml:space="preserve"> %, на 202</w:t>
      </w:r>
      <w:r w:rsidR="00A23683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рік</w:t>
      </w:r>
      <w:proofErr w:type="spellEnd"/>
      <w:r>
        <w:rPr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color w:val="000000"/>
          <w:sz w:val="28"/>
          <w:szCs w:val="28"/>
          <w:lang w:val="ru-RU"/>
        </w:rPr>
        <w:t>проєкту</w:t>
      </w:r>
      <w:proofErr w:type="spellEnd"/>
      <w:r>
        <w:rPr>
          <w:color w:val="000000"/>
          <w:sz w:val="28"/>
          <w:szCs w:val="28"/>
          <w:lang w:val="ru-RU"/>
        </w:rPr>
        <w:t xml:space="preserve"> 202</w:t>
      </w:r>
      <w:r w:rsidR="00A23683">
        <w:rPr>
          <w:color w:val="000000"/>
          <w:sz w:val="28"/>
          <w:szCs w:val="28"/>
          <w:lang w:val="ru-RU"/>
        </w:rPr>
        <w:t>7</w:t>
      </w:r>
      <w:r>
        <w:rPr>
          <w:color w:val="000000"/>
          <w:sz w:val="28"/>
          <w:szCs w:val="28"/>
          <w:lang w:val="ru-RU"/>
        </w:rPr>
        <w:t xml:space="preserve"> року – 10</w:t>
      </w:r>
      <w:r w:rsidR="00A23683">
        <w:rPr>
          <w:color w:val="000000"/>
          <w:sz w:val="28"/>
          <w:szCs w:val="28"/>
          <w:lang w:val="ru-RU"/>
        </w:rPr>
        <w:t>7,3</w:t>
      </w:r>
      <w:r>
        <w:rPr>
          <w:color w:val="000000"/>
          <w:sz w:val="28"/>
          <w:szCs w:val="28"/>
          <w:lang w:val="ru-RU"/>
        </w:rPr>
        <w:t xml:space="preserve"> %.</w:t>
      </w:r>
    </w:p>
    <w:p w:rsidR="007C24B2" w:rsidRDefault="00F50EE4" w:rsidP="00E113CE">
      <w:pPr>
        <w:autoSpaceDE w:val="0"/>
        <w:autoSpaceDN w:val="0"/>
        <w:adjustRightInd w:val="0"/>
        <w:rPr>
          <w:color w:val="000000"/>
          <w:sz w:val="28"/>
          <w:szCs w:val="28"/>
          <w:lang w:val="ru-RU"/>
        </w:rPr>
      </w:pPr>
      <w:r w:rsidRPr="00F50EE4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940425" cy="3746048"/>
            <wp:effectExtent l="0" t="0" r="0" b="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113CE" w:rsidRDefault="00E113C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         </w:t>
      </w:r>
      <w:proofErr w:type="spellStart"/>
      <w:r>
        <w:rPr>
          <w:color w:val="000000"/>
          <w:sz w:val="28"/>
          <w:szCs w:val="28"/>
          <w:lang w:val="ru-RU"/>
        </w:rPr>
        <w:t>Крім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цього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прогнозується</w:t>
      </w:r>
      <w:proofErr w:type="spellEnd"/>
      <w:r>
        <w:rPr>
          <w:color w:val="000000"/>
          <w:sz w:val="28"/>
          <w:szCs w:val="28"/>
          <w:lang w:val="ru-RU"/>
        </w:rPr>
        <w:t xml:space="preserve"> передача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бюджету </w:t>
      </w:r>
      <w:proofErr w:type="spellStart"/>
      <w:r>
        <w:rPr>
          <w:color w:val="000000"/>
          <w:sz w:val="28"/>
          <w:szCs w:val="28"/>
          <w:lang w:val="ru-RU"/>
        </w:rPr>
        <w:t>Новооржицької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утримання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арх</w:t>
      </w:r>
      <w:proofErr w:type="gramEnd"/>
      <w:r>
        <w:rPr>
          <w:color w:val="000000"/>
          <w:sz w:val="28"/>
          <w:szCs w:val="28"/>
          <w:lang w:val="ru-RU"/>
        </w:rPr>
        <w:t>іву</w:t>
      </w:r>
      <w:proofErr w:type="spellEnd"/>
      <w:r>
        <w:rPr>
          <w:color w:val="000000"/>
          <w:sz w:val="28"/>
          <w:szCs w:val="28"/>
          <w:lang w:val="ru-RU"/>
        </w:rPr>
        <w:t>: 202</w:t>
      </w:r>
      <w:r w:rsidR="0085188E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р. – </w:t>
      </w:r>
      <w:r w:rsidR="0085188E">
        <w:rPr>
          <w:color w:val="000000"/>
          <w:sz w:val="28"/>
          <w:szCs w:val="28"/>
          <w:lang w:val="ru-RU"/>
        </w:rPr>
        <w:t>126 041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., 202</w:t>
      </w:r>
      <w:r w:rsidR="0085188E">
        <w:rPr>
          <w:color w:val="000000"/>
          <w:sz w:val="28"/>
          <w:szCs w:val="28"/>
          <w:lang w:val="ru-RU"/>
        </w:rPr>
        <w:t>7</w:t>
      </w:r>
      <w:r>
        <w:rPr>
          <w:color w:val="000000"/>
          <w:sz w:val="28"/>
          <w:szCs w:val="28"/>
          <w:lang w:val="ru-RU"/>
        </w:rPr>
        <w:t xml:space="preserve">р. – </w:t>
      </w:r>
      <w:r w:rsidR="0085188E">
        <w:rPr>
          <w:color w:val="000000"/>
          <w:sz w:val="28"/>
          <w:szCs w:val="28"/>
          <w:lang w:val="ru-RU"/>
        </w:rPr>
        <w:t xml:space="preserve">127 958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., 202</w:t>
      </w:r>
      <w:r w:rsidR="0085188E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р. – </w:t>
      </w:r>
      <w:r w:rsidR="0085188E">
        <w:rPr>
          <w:color w:val="000000"/>
          <w:sz w:val="28"/>
          <w:szCs w:val="28"/>
          <w:lang w:val="ru-RU"/>
        </w:rPr>
        <w:t>129 518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85188E" w:rsidRDefault="0085188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</w:t>
      </w:r>
      <w:proofErr w:type="gramStart"/>
      <w:r>
        <w:rPr>
          <w:color w:val="000000"/>
          <w:sz w:val="28"/>
          <w:szCs w:val="28"/>
          <w:lang w:val="ru-RU"/>
        </w:rPr>
        <w:t>З</w:t>
      </w:r>
      <w:proofErr w:type="gramEnd"/>
      <w:r>
        <w:rPr>
          <w:color w:val="000000"/>
          <w:sz w:val="28"/>
          <w:szCs w:val="28"/>
          <w:lang w:val="ru-RU"/>
        </w:rPr>
        <w:t xml:space="preserve"> бюджету </w:t>
      </w:r>
      <w:proofErr w:type="spellStart"/>
      <w:r>
        <w:rPr>
          <w:color w:val="000000"/>
          <w:sz w:val="28"/>
          <w:szCs w:val="28"/>
          <w:lang w:val="ru-RU"/>
        </w:rPr>
        <w:t>Сенчанської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сільської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територіальної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утримання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архіву</w:t>
      </w:r>
      <w:proofErr w:type="spellEnd"/>
      <w:r>
        <w:rPr>
          <w:color w:val="000000"/>
          <w:sz w:val="28"/>
          <w:szCs w:val="28"/>
          <w:lang w:val="ru-RU"/>
        </w:rPr>
        <w:t xml:space="preserve">: 2026р. – </w:t>
      </w:r>
      <w:r w:rsidR="00341F2F">
        <w:rPr>
          <w:color w:val="000000"/>
          <w:sz w:val="28"/>
          <w:szCs w:val="28"/>
          <w:lang w:val="ru-RU"/>
        </w:rPr>
        <w:t>20 300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 xml:space="preserve">., 2027р – </w:t>
      </w:r>
      <w:r w:rsidR="00341F2F">
        <w:rPr>
          <w:color w:val="000000"/>
          <w:sz w:val="28"/>
          <w:szCs w:val="28"/>
          <w:lang w:val="ru-RU"/>
        </w:rPr>
        <w:t>20 500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 xml:space="preserve">., 2028р. – </w:t>
      </w:r>
      <w:r w:rsidR="00341F2F">
        <w:rPr>
          <w:color w:val="000000"/>
          <w:sz w:val="28"/>
          <w:szCs w:val="28"/>
          <w:lang w:val="ru-RU"/>
        </w:rPr>
        <w:t>20 600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E113CE" w:rsidRDefault="00E113C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</w:t>
      </w:r>
      <w:proofErr w:type="gramStart"/>
      <w:r>
        <w:rPr>
          <w:color w:val="000000"/>
          <w:sz w:val="28"/>
          <w:szCs w:val="28"/>
          <w:lang w:val="ru-RU"/>
        </w:rPr>
        <w:t>З</w:t>
      </w:r>
      <w:proofErr w:type="gramEnd"/>
      <w:r>
        <w:rPr>
          <w:color w:val="000000"/>
          <w:sz w:val="28"/>
          <w:szCs w:val="28"/>
          <w:lang w:val="ru-RU"/>
        </w:rPr>
        <w:t xml:space="preserve"> бюджету </w:t>
      </w:r>
      <w:proofErr w:type="spellStart"/>
      <w:r>
        <w:rPr>
          <w:color w:val="000000"/>
          <w:sz w:val="28"/>
          <w:szCs w:val="28"/>
          <w:lang w:val="ru-RU"/>
        </w:rPr>
        <w:t>Ромоданівської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також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утримання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архіву</w:t>
      </w:r>
      <w:proofErr w:type="spellEnd"/>
      <w:r>
        <w:rPr>
          <w:color w:val="000000"/>
          <w:sz w:val="28"/>
          <w:szCs w:val="28"/>
          <w:lang w:val="ru-RU"/>
        </w:rPr>
        <w:t>: 202</w:t>
      </w:r>
      <w:r w:rsidR="0085188E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р.– </w:t>
      </w:r>
      <w:r w:rsidR="0085188E">
        <w:rPr>
          <w:color w:val="000000"/>
          <w:sz w:val="28"/>
          <w:szCs w:val="28"/>
          <w:lang w:val="ru-RU"/>
        </w:rPr>
        <w:t>102 575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., 202</w:t>
      </w:r>
      <w:r w:rsidR="0085188E">
        <w:rPr>
          <w:color w:val="000000"/>
          <w:sz w:val="28"/>
          <w:szCs w:val="28"/>
          <w:lang w:val="ru-RU"/>
        </w:rPr>
        <w:t>7</w:t>
      </w:r>
      <w:r>
        <w:rPr>
          <w:color w:val="000000"/>
          <w:sz w:val="28"/>
          <w:szCs w:val="28"/>
          <w:lang w:val="ru-RU"/>
        </w:rPr>
        <w:t xml:space="preserve">р. – </w:t>
      </w:r>
      <w:r w:rsidR="0085188E">
        <w:rPr>
          <w:color w:val="000000"/>
          <w:sz w:val="28"/>
          <w:szCs w:val="28"/>
          <w:lang w:val="ru-RU"/>
        </w:rPr>
        <w:t>103 200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., 202</w:t>
      </w:r>
      <w:r w:rsidR="0085188E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>р. –</w:t>
      </w:r>
      <w:r w:rsidR="0085188E">
        <w:rPr>
          <w:color w:val="000000"/>
          <w:sz w:val="28"/>
          <w:szCs w:val="28"/>
          <w:lang w:val="ru-RU"/>
        </w:rPr>
        <w:t>103 385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85188E" w:rsidRDefault="0085188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На </w:t>
      </w:r>
      <w:proofErr w:type="spellStart"/>
      <w:r>
        <w:rPr>
          <w:color w:val="000000"/>
          <w:sz w:val="28"/>
          <w:szCs w:val="28"/>
          <w:lang w:val="ru-RU"/>
        </w:rPr>
        <w:t>надання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реабілітаційних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послуг</w:t>
      </w:r>
      <w:proofErr w:type="spellEnd"/>
      <w:r>
        <w:rPr>
          <w:color w:val="000000"/>
          <w:sz w:val="28"/>
          <w:szCs w:val="28"/>
          <w:lang w:val="ru-RU"/>
        </w:rPr>
        <w:t xml:space="preserve"> особам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інвалідністю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дітям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інвалідністю</w:t>
      </w:r>
      <w:proofErr w:type="spellEnd"/>
      <w:r>
        <w:rPr>
          <w:color w:val="000000"/>
          <w:sz w:val="28"/>
          <w:szCs w:val="28"/>
          <w:lang w:val="ru-RU"/>
        </w:rPr>
        <w:t>:</w:t>
      </w:r>
    </w:p>
    <w:p w:rsidR="00E113CE" w:rsidRDefault="00E113C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</w:t>
      </w:r>
      <w:r w:rsidR="0085188E">
        <w:rPr>
          <w:color w:val="000000"/>
          <w:sz w:val="28"/>
          <w:szCs w:val="28"/>
          <w:lang w:val="ru-RU"/>
        </w:rPr>
        <w:t xml:space="preserve">  </w:t>
      </w:r>
      <w:proofErr w:type="gramStart"/>
      <w:r w:rsidR="0085188E">
        <w:rPr>
          <w:color w:val="000000"/>
          <w:sz w:val="28"/>
          <w:szCs w:val="28"/>
          <w:lang w:val="ru-RU"/>
        </w:rPr>
        <w:t>З</w:t>
      </w:r>
      <w:proofErr w:type="gramEnd"/>
      <w:r w:rsidR="0085188E">
        <w:rPr>
          <w:color w:val="000000"/>
          <w:sz w:val="28"/>
          <w:szCs w:val="28"/>
          <w:lang w:val="ru-RU"/>
        </w:rPr>
        <w:t xml:space="preserve"> </w:t>
      </w:r>
      <w:r w:rsidR="00AF3820">
        <w:rPr>
          <w:color w:val="000000"/>
          <w:sz w:val="28"/>
          <w:szCs w:val="28"/>
          <w:lang w:val="ru-RU"/>
        </w:rPr>
        <w:t xml:space="preserve"> </w:t>
      </w:r>
      <w:r w:rsidR="0085188E">
        <w:rPr>
          <w:color w:val="000000"/>
          <w:sz w:val="28"/>
          <w:szCs w:val="28"/>
          <w:lang w:val="ru-RU"/>
        </w:rPr>
        <w:t xml:space="preserve">бюджету </w:t>
      </w:r>
      <w:r w:rsidR="00AF382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5188E">
        <w:rPr>
          <w:color w:val="000000"/>
          <w:sz w:val="28"/>
          <w:szCs w:val="28"/>
          <w:lang w:val="ru-RU"/>
        </w:rPr>
        <w:t>Хорольської</w:t>
      </w:r>
      <w:proofErr w:type="spellEnd"/>
      <w:r w:rsidR="00AF3820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85188E"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: </w:t>
      </w:r>
      <w:r w:rsidR="00AF3820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202</w:t>
      </w:r>
      <w:r w:rsidR="0085188E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р – </w:t>
      </w:r>
      <w:r w:rsidR="00AF3820">
        <w:rPr>
          <w:color w:val="000000"/>
          <w:sz w:val="28"/>
          <w:szCs w:val="28"/>
          <w:lang w:val="ru-RU"/>
        </w:rPr>
        <w:t xml:space="preserve"> </w:t>
      </w:r>
      <w:r w:rsidR="0085188E">
        <w:rPr>
          <w:color w:val="000000"/>
          <w:sz w:val="28"/>
          <w:szCs w:val="28"/>
          <w:lang w:val="ru-RU"/>
        </w:rPr>
        <w:t>264</w:t>
      </w:r>
      <w:r w:rsidR="00AF3820">
        <w:rPr>
          <w:color w:val="000000"/>
          <w:sz w:val="28"/>
          <w:szCs w:val="28"/>
          <w:lang w:val="ru-RU"/>
        </w:rPr>
        <w:t> </w:t>
      </w:r>
      <w:r w:rsidR="0085188E">
        <w:rPr>
          <w:color w:val="000000"/>
          <w:sz w:val="28"/>
          <w:szCs w:val="28"/>
          <w:lang w:val="ru-RU"/>
        </w:rPr>
        <w:t>600</w:t>
      </w:r>
      <w:r w:rsidR="00AF3820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 xml:space="preserve">., </w:t>
      </w:r>
      <w:r w:rsidR="00AF3820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202</w:t>
      </w:r>
      <w:r w:rsidR="00AF3820">
        <w:rPr>
          <w:color w:val="000000"/>
          <w:sz w:val="28"/>
          <w:szCs w:val="28"/>
          <w:lang w:val="ru-RU"/>
        </w:rPr>
        <w:t>7</w:t>
      </w:r>
      <w:r>
        <w:rPr>
          <w:color w:val="000000"/>
          <w:sz w:val="28"/>
          <w:szCs w:val="28"/>
          <w:lang w:val="ru-RU"/>
        </w:rPr>
        <w:t xml:space="preserve">р. </w:t>
      </w:r>
      <w:r w:rsidR="00AF3820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– </w:t>
      </w:r>
      <w:r w:rsidR="00AF3820">
        <w:rPr>
          <w:color w:val="000000"/>
          <w:sz w:val="28"/>
          <w:szCs w:val="28"/>
          <w:lang w:val="ru-RU"/>
        </w:rPr>
        <w:t>297 000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., 202</w:t>
      </w:r>
      <w:r w:rsidR="00AF3820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р. – </w:t>
      </w:r>
      <w:r w:rsidR="00AF3820">
        <w:rPr>
          <w:color w:val="000000"/>
          <w:sz w:val="28"/>
          <w:szCs w:val="28"/>
          <w:lang w:val="ru-RU"/>
        </w:rPr>
        <w:t>329 400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E113CE" w:rsidRDefault="00E113CE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</w:t>
      </w:r>
      <w:proofErr w:type="gramStart"/>
      <w:r w:rsidR="00AF3820">
        <w:rPr>
          <w:color w:val="000000"/>
          <w:sz w:val="28"/>
          <w:szCs w:val="28"/>
          <w:lang w:val="ru-RU"/>
        </w:rPr>
        <w:t>З</w:t>
      </w:r>
      <w:proofErr w:type="gramEnd"/>
      <w:r w:rsidR="00AF3820">
        <w:rPr>
          <w:color w:val="000000"/>
          <w:sz w:val="28"/>
          <w:szCs w:val="28"/>
          <w:lang w:val="ru-RU"/>
        </w:rPr>
        <w:t xml:space="preserve"> бюджету </w:t>
      </w:r>
      <w:proofErr w:type="spellStart"/>
      <w:r w:rsidR="00AF3820">
        <w:rPr>
          <w:color w:val="000000"/>
          <w:sz w:val="28"/>
          <w:szCs w:val="28"/>
          <w:lang w:val="ru-RU"/>
        </w:rPr>
        <w:t>Чорнухинської</w:t>
      </w:r>
      <w:proofErr w:type="spellEnd"/>
      <w:r w:rsidR="00AF382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F3820"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: </w:t>
      </w:r>
      <w:r w:rsidR="0028775A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202</w:t>
      </w:r>
      <w:r w:rsidR="00AF3820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>р. -</w:t>
      </w:r>
      <w:r w:rsidR="0028775A">
        <w:rPr>
          <w:color w:val="000000"/>
          <w:sz w:val="28"/>
          <w:szCs w:val="28"/>
          <w:lang w:val="ru-RU"/>
        </w:rPr>
        <w:t xml:space="preserve"> </w:t>
      </w:r>
      <w:r w:rsidR="00AF3820">
        <w:rPr>
          <w:color w:val="000000"/>
          <w:sz w:val="28"/>
          <w:szCs w:val="28"/>
          <w:lang w:val="ru-RU"/>
        </w:rPr>
        <w:t>117 600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 xml:space="preserve">.,  </w:t>
      </w:r>
      <w:r w:rsidR="0028775A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202</w:t>
      </w:r>
      <w:r w:rsidR="00AF3820">
        <w:rPr>
          <w:color w:val="000000"/>
          <w:sz w:val="28"/>
          <w:szCs w:val="28"/>
          <w:lang w:val="ru-RU"/>
        </w:rPr>
        <w:t>7</w:t>
      </w:r>
      <w:r>
        <w:rPr>
          <w:color w:val="000000"/>
          <w:sz w:val="28"/>
          <w:szCs w:val="28"/>
          <w:lang w:val="ru-RU"/>
        </w:rPr>
        <w:t xml:space="preserve">р. – </w:t>
      </w:r>
      <w:r w:rsidR="0028775A">
        <w:rPr>
          <w:color w:val="000000"/>
          <w:sz w:val="28"/>
          <w:szCs w:val="28"/>
          <w:lang w:val="ru-RU"/>
        </w:rPr>
        <w:t xml:space="preserve"> </w:t>
      </w:r>
      <w:r w:rsidR="00AF3820">
        <w:rPr>
          <w:color w:val="000000"/>
          <w:sz w:val="28"/>
          <w:szCs w:val="28"/>
          <w:lang w:val="ru-RU"/>
        </w:rPr>
        <w:t>132 000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.,  202</w:t>
      </w:r>
      <w:r w:rsidR="0028775A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р – </w:t>
      </w:r>
      <w:r w:rsidR="0028775A">
        <w:rPr>
          <w:color w:val="000000"/>
          <w:sz w:val="28"/>
          <w:szCs w:val="28"/>
          <w:lang w:val="ru-RU"/>
        </w:rPr>
        <w:t>146 400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</w:p>
    <w:p w:rsidR="0028775A" w:rsidRDefault="0028775A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</w:t>
      </w:r>
      <w:proofErr w:type="gramStart"/>
      <w:r>
        <w:rPr>
          <w:color w:val="000000"/>
          <w:sz w:val="28"/>
          <w:szCs w:val="28"/>
          <w:lang w:val="ru-RU"/>
        </w:rPr>
        <w:t>З</w:t>
      </w:r>
      <w:proofErr w:type="gramEnd"/>
      <w:r>
        <w:rPr>
          <w:color w:val="000000"/>
          <w:sz w:val="28"/>
          <w:szCs w:val="28"/>
          <w:lang w:val="ru-RU"/>
        </w:rPr>
        <w:t xml:space="preserve"> бюджету </w:t>
      </w:r>
      <w:proofErr w:type="spellStart"/>
      <w:r>
        <w:rPr>
          <w:color w:val="000000"/>
          <w:sz w:val="28"/>
          <w:szCs w:val="28"/>
          <w:lang w:val="ru-RU"/>
        </w:rPr>
        <w:t>Пирятинської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: 2026р. – 352 800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 xml:space="preserve">., 2027р. – 396 000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.,</w:t>
      </w:r>
      <w:r w:rsidR="00291B22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2028р. – 439 200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341F2F" w:rsidRDefault="00F05F70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</w:t>
      </w:r>
      <w:r w:rsidR="00AF65D8">
        <w:rPr>
          <w:color w:val="000000"/>
          <w:sz w:val="28"/>
          <w:szCs w:val="28"/>
          <w:lang w:val="ru-RU"/>
        </w:rPr>
        <w:t>З бюджету</w:t>
      </w:r>
      <w:proofErr w:type="gramStart"/>
      <w:r w:rsidR="00AF65D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F65D8">
        <w:rPr>
          <w:color w:val="000000"/>
          <w:sz w:val="28"/>
          <w:szCs w:val="28"/>
          <w:lang w:val="ru-RU"/>
        </w:rPr>
        <w:t>Г</w:t>
      </w:r>
      <w:proofErr w:type="gramEnd"/>
      <w:r w:rsidR="00AF65D8">
        <w:rPr>
          <w:color w:val="000000"/>
          <w:sz w:val="28"/>
          <w:szCs w:val="28"/>
          <w:lang w:val="ru-RU"/>
        </w:rPr>
        <w:t>ребінківської</w:t>
      </w:r>
      <w:proofErr w:type="spellEnd"/>
      <w:r w:rsidR="00AF65D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F65D8">
        <w:rPr>
          <w:color w:val="000000"/>
          <w:sz w:val="28"/>
          <w:szCs w:val="28"/>
          <w:lang w:val="ru-RU"/>
        </w:rPr>
        <w:t>громади</w:t>
      </w:r>
      <w:proofErr w:type="spellEnd"/>
      <w:r w:rsidR="00AF65D8">
        <w:rPr>
          <w:color w:val="000000"/>
          <w:sz w:val="28"/>
          <w:szCs w:val="28"/>
          <w:lang w:val="ru-RU"/>
        </w:rPr>
        <w:t xml:space="preserve">: 2026р. – 147 000 </w:t>
      </w:r>
      <w:proofErr w:type="spellStart"/>
      <w:r w:rsidR="00AF65D8">
        <w:rPr>
          <w:color w:val="000000"/>
          <w:sz w:val="28"/>
          <w:szCs w:val="28"/>
          <w:lang w:val="ru-RU"/>
        </w:rPr>
        <w:t>грн</w:t>
      </w:r>
      <w:proofErr w:type="spellEnd"/>
      <w:r w:rsidR="00AF65D8">
        <w:rPr>
          <w:color w:val="000000"/>
          <w:sz w:val="28"/>
          <w:szCs w:val="28"/>
          <w:lang w:val="ru-RU"/>
        </w:rPr>
        <w:t xml:space="preserve">., 2027р. – 165 000 </w:t>
      </w:r>
      <w:proofErr w:type="spellStart"/>
      <w:r w:rsidR="00AF65D8">
        <w:rPr>
          <w:color w:val="000000"/>
          <w:sz w:val="28"/>
          <w:szCs w:val="28"/>
          <w:lang w:val="ru-RU"/>
        </w:rPr>
        <w:t>грн</w:t>
      </w:r>
      <w:proofErr w:type="spellEnd"/>
      <w:r w:rsidR="00AF65D8">
        <w:rPr>
          <w:color w:val="000000"/>
          <w:sz w:val="28"/>
          <w:szCs w:val="28"/>
          <w:lang w:val="ru-RU"/>
        </w:rPr>
        <w:t xml:space="preserve">.. 2028р. – 183 000 </w:t>
      </w:r>
      <w:proofErr w:type="spellStart"/>
      <w:r w:rsidR="00AF65D8">
        <w:rPr>
          <w:color w:val="000000"/>
          <w:sz w:val="28"/>
          <w:szCs w:val="28"/>
          <w:lang w:val="ru-RU"/>
        </w:rPr>
        <w:t>грн</w:t>
      </w:r>
      <w:proofErr w:type="spellEnd"/>
      <w:r w:rsidR="00AF65D8">
        <w:rPr>
          <w:color w:val="000000"/>
          <w:sz w:val="28"/>
          <w:szCs w:val="28"/>
          <w:lang w:val="ru-RU"/>
        </w:rPr>
        <w:t>.</w:t>
      </w:r>
      <w:r w:rsidR="00291B22">
        <w:rPr>
          <w:color w:val="000000"/>
          <w:sz w:val="28"/>
          <w:szCs w:val="28"/>
          <w:lang w:val="ru-RU"/>
        </w:rPr>
        <w:t xml:space="preserve">    </w:t>
      </w:r>
    </w:p>
    <w:p w:rsidR="00E113CE" w:rsidRDefault="00341F2F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</w:t>
      </w:r>
      <w:proofErr w:type="gramStart"/>
      <w:r>
        <w:rPr>
          <w:color w:val="000000"/>
          <w:sz w:val="28"/>
          <w:szCs w:val="28"/>
          <w:lang w:val="ru-RU"/>
        </w:rPr>
        <w:t>З</w:t>
      </w:r>
      <w:proofErr w:type="gramEnd"/>
      <w:r>
        <w:rPr>
          <w:color w:val="000000"/>
          <w:sz w:val="28"/>
          <w:szCs w:val="28"/>
          <w:lang w:val="ru-RU"/>
        </w:rPr>
        <w:t xml:space="preserve"> бюджету </w:t>
      </w:r>
      <w:proofErr w:type="spellStart"/>
      <w:r>
        <w:rPr>
          <w:color w:val="000000"/>
          <w:sz w:val="28"/>
          <w:szCs w:val="28"/>
          <w:lang w:val="ru-RU"/>
        </w:rPr>
        <w:t>Новооржицької</w:t>
      </w:r>
      <w:proofErr w:type="spellEnd"/>
      <w:r>
        <w:rPr>
          <w:color w:val="000000"/>
          <w:sz w:val="28"/>
          <w:szCs w:val="28"/>
          <w:lang w:val="ru-RU"/>
        </w:rPr>
        <w:t xml:space="preserve"> громад на </w:t>
      </w:r>
      <w:proofErr w:type="spellStart"/>
      <w:r>
        <w:rPr>
          <w:color w:val="000000"/>
          <w:sz w:val="28"/>
          <w:szCs w:val="28"/>
          <w:lang w:val="ru-RU"/>
        </w:rPr>
        <w:t>підтримку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діяльності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Лубенського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інклюзивно-ресурсного</w:t>
      </w:r>
      <w:proofErr w:type="spellEnd"/>
      <w:r>
        <w:rPr>
          <w:color w:val="000000"/>
          <w:sz w:val="28"/>
          <w:szCs w:val="28"/>
          <w:lang w:val="ru-RU"/>
        </w:rPr>
        <w:t xml:space="preserve"> центру: 2026р. – 167 364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 xml:space="preserve">., 2027р. – 184 100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 xml:space="preserve">. 2028р. – 202 510 </w:t>
      </w:r>
      <w:proofErr w:type="spellStart"/>
      <w:r>
        <w:rPr>
          <w:color w:val="000000"/>
          <w:sz w:val="28"/>
          <w:szCs w:val="28"/>
          <w:lang w:val="ru-RU"/>
        </w:rPr>
        <w:t>грн</w:t>
      </w:r>
      <w:proofErr w:type="spellEnd"/>
      <w:r>
        <w:rPr>
          <w:color w:val="000000"/>
          <w:sz w:val="28"/>
          <w:szCs w:val="28"/>
          <w:lang w:val="ru-RU"/>
        </w:rPr>
        <w:t>.</w:t>
      </w:r>
      <w:r w:rsidR="00291B22">
        <w:rPr>
          <w:color w:val="000000"/>
          <w:sz w:val="28"/>
          <w:szCs w:val="28"/>
          <w:lang w:val="ru-RU"/>
        </w:rPr>
        <w:t xml:space="preserve">     </w:t>
      </w:r>
    </w:p>
    <w:p w:rsidR="00F754E0" w:rsidRPr="00F754E0" w:rsidRDefault="00F754E0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          </w:t>
      </w:r>
      <w:proofErr w:type="gramStart"/>
      <w:r>
        <w:rPr>
          <w:color w:val="000000"/>
          <w:sz w:val="28"/>
          <w:szCs w:val="28"/>
          <w:lang w:val="ru-RU"/>
        </w:rPr>
        <w:t>З</w:t>
      </w:r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Полтавського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обласного</w:t>
      </w:r>
      <w:proofErr w:type="spellEnd"/>
      <w:r>
        <w:rPr>
          <w:color w:val="000000"/>
          <w:sz w:val="28"/>
          <w:szCs w:val="28"/>
          <w:lang w:val="ru-RU"/>
        </w:rPr>
        <w:t xml:space="preserve"> бюджету </w:t>
      </w:r>
      <w:proofErr w:type="spellStart"/>
      <w:r>
        <w:rPr>
          <w:color w:val="000000"/>
          <w:sz w:val="28"/>
          <w:szCs w:val="28"/>
          <w:lang w:val="ru-RU"/>
        </w:rPr>
        <w:t>прогнозується</w:t>
      </w:r>
      <w:proofErr w:type="spellEnd"/>
      <w:r>
        <w:rPr>
          <w:color w:val="000000"/>
          <w:sz w:val="28"/>
          <w:szCs w:val="28"/>
          <w:lang w:val="ru-RU"/>
        </w:rPr>
        <w:t xml:space="preserve"> передача </w:t>
      </w:r>
      <w:proofErr w:type="spellStart"/>
      <w:r>
        <w:rPr>
          <w:color w:val="000000"/>
          <w:sz w:val="28"/>
          <w:szCs w:val="28"/>
          <w:lang w:val="ru-RU"/>
        </w:rPr>
        <w:t>міжбюджетного</w:t>
      </w:r>
      <w:proofErr w:type="spellEnd"/>
      <w:r>
        <w:rPr>
          <w:color w:val="000000"/>
          <w:sz w:val="28"/>
          <w:szCs w:val="28"/>
          <w:lang w:val="ru-RU"/>
        </w:rPr>
        <w:t xml:space="preserve"> трансферту у </w:t>
      </w:r>
      <w:proofErr w:type="spellStart"/>
      <w:r>
        <w:rPr>
          <w:color w:val="000000"/>
          <w:sz w:val="28"/>
          <w:szCs w:val="28"/>
          <w:lang w:val="ru-RU"/>
        </w:rPr>
        <w:t>вигляді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іншої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субвенції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r w:rsidRPr="00F754E0">
        <w:rPr>
          <w:iCs/>
          <w:sz w:val="28"/>
          <w:szCs w:val="28"/>
        </w:rPr>
        <w:t>безоплатне поховання учасників бойових дій, постраждалих учасників Революції Гідності та осіб з інвалідністю внаслідок війни за рахунок коштів обласного бюджету; на проведення санаторно-курортного оздоровлення членів сімей загиблих (померлих) Захисників і Захисниць України за рахунок коштів обласного бюджету; на проведення заходів із соціального відновлення ветеранів війни та членів їх сімей за рахунок коштів обласного бюджету</w:t>
      </w:r>
      <w:r w:rsidRPr="00F754E0">
        <w:rPr>
          <w:sz w:val="28"/>
          <w:szCs w:val="28"/>
        </w:rPr>
        <w:t xml:space="preserve">  сум</w:t>
      </w:r>
      <w:r>
        <w:rPr>
          <w:sz w:val="28"/>
          <w:szCs w:val="28"/>
        </w:rPr>
        <w:t xml:space="preserve">ою: 2026р. – 876 960 грн., на 2027р. – 920 798 грн., на 2028р. – 966 846 грн., та на </w:t>
      </w:r>
      <w:r w:rsidRPr="00F754E0">
        <w:rPr>
          <w:sz w:val="28"/>
          <w:szCs w:val="28"/>
        </w:rPr>
        <w:t>забезпечення безоплатним зубопротезуванням та безоплатними ліками за рецептами лікарів громадян, які постраждали внаслідок Чорнобильської катастрофи, в тому числі хронічно хворих громадян, які потребують постійного прийому ліків; на встановлення телефонів особам з інвалідністю I і II груп; на забезпечення санаторно-курортним лікуванням громадян, які постраждали внаслідок Чорнобильської катастрофи, віднесених до І категорії, в санаторно-курортних закладах, розташованих на території Полтавської області; на забезпечення санаторно-курортним лікуванням в санаторно-курортних закладах, розташованих на території Полтавської області членів сімей осіб, стосовно яких встановлено факт позбавлення особистої свободи внаслідок збройної агресії проти України</w:t>
      </w:r>
      <w:r>
        <w:rPr>
          <w:sz w:val="28"/>
          <w:szCs w:val="28"/>
        </w:rPr>
        <w:t xml:space="preserve"> сумою: 2026р. </w:t>
      </w:r>
      <w:r w:rsidR="006935E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935E4">
        <w:rPr>
          <w:sz w:val="28"/>
          <w:szCs w:val="28"/>
        </w:rPr>
        <w:t>1 635 896 грн., 2027р. – 1 635 896 грн.,</w:t>
      </w:r>
      <w:r>
        <w:rPr>
          <w:sz w:val="28"/>
          <w:szCs w:val="28"/>
        </w:rPr>
        <w:t xml:space="preserve"> </w:t>
      </w:r>
      <w:r w:rsidR="006935E4">
        <w:rPr>
          <w:sz w:val="28"/>
          <w:szCs w:val="28"/>
        </w:rPr>
        <w:t>2028р. – 1 635 896грн.</w:t>
      </w:r>
    </w:p>
    <w:p w:rsidR="00291B22" w:rsidRDefault="00291B22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F754E0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  <w:lang w:val="ru-RU"/>
        </w:rPr>
        <w:t xml:space="preserve">До </w:t>
      </w:r>
      <w:proofErr w:type="spellStart"/>
      <w:r>
        <w:rPr>
          <w:color w:val="000000"/>
          <w:sz w:val="28"/>
          <w:szCs w:val="28"/>
          <w:lang w:val="ru-RU"/>
        </w:rPr>
        <w:t>інших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бюджетів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різного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рівня</w:t>
      </w:r>
      <w:proofErr w:type="spellEnd"/>
      <w:r>
        <w:rPr>
          <w:color w:val="000000"/>
          <w:sz w:val="28"/>
          <w:szCs w:val="28"/>
          <w:lang w:val="ru-RU"/>
        </w:rPr>
        <w:t xml:space="preserve"> передача </w:t>
      </w:r>
      <w:proofErr w:type="spellStart"/>
      <w:r>
        <w:rPr>
          <w:color w:val="000000"/>
          <w:sz w:val="28"/>
          <w:szCs w:val="28"/>
          <w:lang w:val="ru-RU"/>
        </w:rPr>
        <w:t>трансфертів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color w:val="000000"/>
          <w:sz w:val="28"/>
          <w:szCs w:val="28"/>
          <w:lang w:val="ru-RU"/>
        </w:rPr>
        <w:t>в</w:t>
      </w:r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даний</w:t>
      </w:r>
      <w:proofErr w:type="spellEnd"/>
      <w:r>
        <w:rPr>
          <w:color w:val="000000"/>
          <w:sz w:val="28"/>
          <w:szCs w:val="28"/>
          <w:lang w:val="ru-RU"/>
        </w:rPr>
        <w:t xml:space="preserve"> час не </w:t>
      </w:r>
      <w:proofErr w:type="spellStart"/>
      <w:r>
        <w:rPr>
          <w:color w:val="000000"/>
          <w:sz w:val="28"/>
          <w:szCs w:val="28"/>
          <w:lang w:val="ru-RU"/>
        </w:rPr>
        <w:t>прогнозується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6935E4" w:rsidRDefault="006935E4" w:rsidP="0031168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:rsidR="00291B22" w:rsidRDefault="00291B22" w:rsidP="00E113CE">
      <w:pPr>
        <w:autoSpaceDE w:val="0"/>
        <w:autoSpaceDN w:val="0"/>
        <w:adjustRightInd w:val="0"/>
        <w:rPr>
          <w:color w:val="000000"/>
          <w:sz w:val="28"/>
          <w:szCs w:val="28"/>
          <w:lang w:val="ru-RU"/>
        </w:rPr>
      </w:pPr>
    </w:p>
    <w:p w:rsidR="00E113CE" w:rsidRDefault="00E113CE" w:rsidP="00E113C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proofErr w:type="spellStart"/>
      <w:r>
        <w:rPr>
          <w:b/>
          <w:bCs/>
          <w:color w:val="000000"/>
          <w:sz w:val="28"/>
          <w:szCs w:val="28"/>
          <w:lang w:val="ru-RU"/>
        </w:rPr>
        <w:lastRenderedPageBreak/>
        <w:t>Прогнозні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показники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міжбюджетних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трансферті</w:t>
      </w:r>
      <w:proofErr w:type="gramStart"/>
      <w:r>
        <w:rPr>
          <w:b/>
          <w:bCs/>
          <w:color w:val="000000"/>
          <w:sz w:val="28"/>
          <w:szCs w:val="28"/>
          <w:lang w:val="ru-RU"/>
        </w:rPr>
        <w:t>в</w:t>
      </w:r>
      <w:proofErr w:type="spellEnd"/>
      <w:proofErr w:type="gramEnd"/>
      <w:r>
        <w:rPr>
          <w:b/>
          <w:bCs/>
          <w:color w:val="000000"/>
          <w:sz w:val="28"/>
          <w:szCs w:val="28"/>
          <w:lang w:val="ru-RU"/>
        </w:rPr>
        <w:t xml:space="preserve"> по бюджету</w:t>
      </w:r>
    </w:p>
    <w:p w:rsidR="00E113CE" w:rsidRDefault="00E113CE" w:rsidP="00E113C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                     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Лубенської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міської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територіальної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громади</w:t>
      </w:r>
      <w:proofErr w:type="spellEnd"/>
    </w:p>
    <w:p w:rsidR="00E113CE" w:rsidRDefault="00E113CE" w:rsidP="00E113C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на 202</w:t>
      </w:r>
      <w:r w:rsidR="00DB6AF6">
        <w:rPr>
          <w:b/>
          <w:bCs/>
          <w:color w:val="000000"/>
          <w:sz w:val="28"/>
          <w:szCs w:val="28"/>
          <w:lang w:val="ru-RU"/>
        </w:rPr>
        <w:t>6</w:t>
      </w:r>
      <w:r>
        <w:rPr>
          <w:b/>
          <w:bCs/>
          <w:color w:val="000000"/>
          <w:sz w:val="28"/>
          <w:szCs w:val="28"/>
          <w:lang w:val="ru-RU"/>
        </w:rPr>
        <w:t>-202</w:t>
      </w:r>
      <w:r w:rsidR="00DB6AF6">
        <w:rPr>
          <w:b/>
          <w:bCs/>
          <w:color w:val="000000"/>
          <w:sz w:val="28"/>
          <w:szCs w:val="28"/>
          <w:lang w:val="ru-RU"/>
        </w:rPr>
        <w:t>8</w:t>
      </w:r>
      <w:r>
        <w:rPr>
          <w:b/>
          <w:bCs/>
          <w:color w:val="000000"/>
          <w:sz w:val="28"/>
          <w:szCs w:val="28"/>
          <w:lang w:val="ru-RU"/>
        </w:rPr>
        <w:t xml:space="preserve"> роки</w:t>
      </w:r>
    </w:p>
    <w:p w:rsidR="00E113CE" w:rsidRDefault="00E113CE" w:rsidP="00E113C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</w:p>
    <w:tbl>
      <w:tblPr>
        <w:tblStyle w:val="a4"/>
        <w:tblW w:w="8869" w:type="dxa"/>
        <w:tblLook w:val="04A0"/>
      </w:tblPr>
      <w:tblGrid>
        <w:gridCol w:w="3227"/>
        <w:gridCol w:w="142"/>
        <w:gridCol w:w="1927"/>
        <w:gridCol w:w="83"/>
        <w:gridCol w:w="1777"/>
        <w:gridCol w:w="8"/>
        <w:gridCol w:w="45"/>
        <w:gridCol w:w="1630"/>
        <w:gridCol w:w="30"/>
      </w:tblGrid>
      <w:tr w:rsidR="00E113CE" w:rsidTr="00E113CE">
        <w:trPr>
          <w:gridAfter w:val="1"/>
          <w:wAfter w:w="30" w:type="dxa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ru-RU" w:eastAsia="en-US"/>
              </w:rPr>
              <w:t>Прогнозні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ru-RU" w:eastAsia="en-US"/>
              </w:rPr>
              <w:t>показники</w:t>
            </w:r>
            <w:proofErr w:type="spellEnd"/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 w:rsidP="00DB6A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202</w:t>
            </w:r>
            <w:r w:rsidR="00DB6AF6">
              <w:rPr>
                <w:color w:val="000000"/>
                <w:sz w:val="28"/>
                <w:szCs w:val="28"/>
                <w:lang w:val="ru-RU" w:eastAsia="en-US"/>
              </w:rPr>
              <w:t>6</w:t>
            </w:r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val="ru-RU" w:eastAsia="en-US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  <w:lang w:val="ru-RU" w:eastAsia="en-US"/>
              </w:rPr>
              <w:t>ік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 w:rsidP="00DB6A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202</w:t>
            </w:r>
            <w:r w:rsidR="00DB6AF6">
              <w:rPr>
                <w:color w:val="000000"/>
                <w:sz w:val="28"/>
                <w:szCs w:val="28"/>
                <w:lang w:val="ru-RU" w:eastAsia="en-US"/>
              </w:rPr>
              <w:t>7</w:t>
            </w:r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val="ru-RU" w:eastAsia="en-US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  <w:lang w:val="ru-RU" w:eastAsia="en-US"/>
              </w:rPr>
              <w:t>ік</w:t>
            </w:r>
            <w:proofErr w:type="spellEnd"/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3CE" w:rsidRDefault="00E113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202</w:t>
            </w:r>
            <w:r w:rsidR="00DB6AF6">
              <w:rPr>
                <w:color w:val="000000"/>
                <w:sz w:val="28"/>
                <w:szCs w:val="28"/>
                <w:lang w:val="ru-RU" w:eastAsia="en-US"/>
              </w:rPr>
              <w:t>8</w:t>
            </w:r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val="ru-RU" w:eastAsia="en-US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  <w:lang w:val="ru-RU" w:eastAsia="en-US"/>
              </w:rPr>
              <w:t>ік</w:t>
            </w:r>
            <w:proofErr w:type="spellEnd"/>
          </w:p>
          <w:p w:rsidR="00E113CE" w:rsidRDefault="00E113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</w:pPr>
          </w:p>
        </w:tc>
      </w:tr>
      <w:tr w:rsidR="00E113CE" w:rsidTr="00E113CE">
        <w:trPr>
          <w:gridAfter w:val="1"/>
          <w:wAfter w:w="30" w:type="dxa"/>
        </w:trPr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3CE" w:rsidRDefault="00E113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Міжбюджетні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трансферти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які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надходять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val="ru-RU" w:eastAsia="en-US"/>
              </w:rPr>
              <w:t>державного</w:t>
            </w:r>
            <w:proofErr w:type="gram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бюджету</w:t>
            </w:r>
          </w:p>
          <w:p w:rsidR="00E113CE" w:rsidRDefault="00E113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</w:p>
        </w:tc>
      </w:tr>
      <w:tr w:rsidR="00E113CE" w:rsidTr="00E113CE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Базова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дотація</w:t>
            </w:r>
            <w:proofErr w:type="spellEnd"/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2821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11 386 100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F101F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2821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24 330 600</w:t>
            </w:r>
          </w:p>
        </w:tc>
      </w:tr>
      <w:tr w:rsidR="00E113CE" w:rsidTr="00E113CE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Освітня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субвенція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2821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180 910 300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2821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195 195 400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2821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209 480 500</w:t>
            </w:r>
          </w:p>
        </w:tc>
      </w:tr>
      <w:tr w:rsidR="00E113CE" w:rsidTr="00E113CE">
        <w:trPr>
          <w:gridAfter w:val="1"/>
          <w:wAfter w:w="30" w:type="dxa"/>
        </w:trPr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Міжбюджетні трансферти з інших місцевих бюджетів </w:t>
            </w:r>
          </w:p>
        </w:tc>
      </w:tr>
      <w:tr w:rsidR="00E113CE" w:rsidTr="00E113CE">
        <w:trPr>
          <w:gridAfter w:val="1"/>
          <w:wAfter w:w="30" w:type="dxa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Субвенція з місцевого бюджету на утримання об'єктів спільного користування чи ліквідацію негативних наслідків діяльності об'єктів спільного  користування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324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735 000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324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825 000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324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915 000</w:t>
            </w:r>
          </w:p>
        </w:tc>
      </w:tr>
      <w:tr w:rsidR="00E113CE" w:rsidTr="00E113CE">
        <w:trPr>
          <w:gridAfter w:val="1"/>
          <w:wAfter w:w="30" w:type="dxa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Інша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субвенція</w:t>
            </w:r>
            <w:proofErr w:type="spellEnd"/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6935E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3 076 136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6935E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3 157 452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6935E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3 241 755</w:t>
            </w:r>
          </w:p>
        </w:tc>
      </w:tr>
      <w:tr w:rsidR="00E113CE" w:rsidTr="00E113CE">
        <w:trPr>
          <w:gridAfter w:val="1"/>
          <w:wAfter w:w="30" w:type="dxa"/>
        </w:trPr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Міжбюджетні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трансферти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що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передаються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до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інших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бюджеті</w:t>
            </w:r>
            <w:proofErr w:type="gramStart"/>
            <w:r>
              <w:rPr>
                <w:color w:val="000000"/>
                <w:sz w:val="28"/>
                <w:szCs w:val="28"/>
                <w:lang w:val="ru-RU" w:eastAsia="en-US"/>
              </w:rPr>
              <w:t>в</w:t>
            </w:r>
            <w:proofErr w:type="spellEnd"/>
            <w:proofErr w:type="gramEnd"/>
          </w:p>
        </w:tc>
      </w:tr>
      <w:tr w:rsidR="00E113CE" w:rsidTr="00E113CE">
        <w:trPr>
          <w:gridAfter w:val="1"/>
          <w:wAfter w:w="30" w:type="dxa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ind w:right="-108"/>
              <w:rPr>
                <w:color w:val="000000"/>
                <w:sz w:val="28"/>
                <w:szCs w:val="28"/>
                <w:lang w:val="ru-RU" w:eastAsia="en-US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6D78EA" w:rsidP="006D78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CE" w:rsidRDefault="00E113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val="ru-RU" w:eastAsia="en-US"/>
              </w:rPr>
              <w:t>-</w:t>
            </w:r>
          </w:p>
        </w:tc>
      </w:tr>
    </w:tbl>
    <w:p w:rsidR="00E113CE" w:rsidRDefault="00E113CE" w:rsidP="00E113CE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ru-RU"/>
        </w:rPr>
      </w:pPr>
    </w:p>
    <w:p w:rsidR="00A52C41" w:rsidRDefault="00A52C41"/>
    <w:sectPr w:rsidR="00A52C41" w:rsidSect="00A5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F0A97"/>
    <w:multiLevelType w:val="hybridMultilevel"/>
    <w:tmpl w:val="983A8C9C"/>
    <w:lvl w:ilvl="0" w:tplc="9128509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E113CE"/>
    <w:rsid w:val="000F7C56"/>
    <w:rsid w:val="00117DEE"/>
    <w:rsid w:val="001573C0"/>
    <w:rsid w:val="002821F4"/>
    <w:rsid w:val="0028775A"/>
    <w:rsid w:val="00291B22"/>
    <w:rsid w:val="002F36A2"/>
    <w:rsid w:val="00311680"/>
    <w:rsid w:val="00313F6E"/>
    <w:rsid w:val="00324701"/>
    <w:rsid w:val="00341F2F"/>
    <w:rsid w:val="00403708"/>
    <w:rsid w:val="004E3B8C"/>
    <w:rsid w:val="00593ED8"/>
    <w:rsid w:val="00595626"/>
    <w:rsid w:val="00682B32"/>
    <w:rsid w:val="006935E4"/>
    <w:rsid w:val="006A7B03"/>
    <w:rsid w:val="006D78EA"/>
    <w:rsid w:val="007C24B2"/>
    <w:rsid w:val="0085188E"/>
    <w:rsid w:val="008D5D38"/>
    <w:rsid w:val="009F71B8"/>
    <w:rsid w:val="00A041B9"/>
    <w:rsid w:val="00A23683"/>
    <w:rsid w:val="00A3126C"/>
    <w:rsid w:val="00A52C41"/>
    <w:rsid w:val="00AF3820"/>
    <w:rsid w:val="00AF65D8"/>
    <w:rsid w:val="00B871B4"/>
    <w:rsid w:val="00CC1B5F"/>
    <w:rsid w:val="00CC4E55"/>
    <w:rsid w:val="00DB6AF6"/>
    <w:rsid w:val="00E113CE"/>
    <w:rsid w:val="00E72C8B"/>
    <w:rsid w:val="00E96328"/>
    <w:rsid w:val="00F05F70"/>
    <w:rsid w:val="00F101FE"/>
    <w:rsid w:val="00F16FE0"/>
    <w:rsid w:val="00F50EE4"/>
    <w:rsid w:val="00F64ED3"/>
    <w:rsid w:val="00F7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3CE"/>
    <w:pPr>
      <w:ind w:left="720"/>
      <w:contextualSpacing/>
    </w:pPr>
  </w:style>
  <w:style w:type="table" w:styleId="a4">
    <w:name w:val="Table Grid"/>
    <w:basedOn w:val="a1"/>
    <w:uiPriority w:val="59"/>
    <w:rsid w:val="00E11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C24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C24B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8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Server\Desktop\&#1076;&#1086;&#1093;&#1086;&#1076;&#1080;%20&#1076;&#1110;&#1072;&#1075;&#1088;&#1072;&#1084;&#1080;%202008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/>
            </a:pPr>
            <a:r>
              <a:rPr lang="ru-RU"/>
              <a:t>Динаміка надходжень</a:t>
            </a:r>
            <a:r>
              <a:rPr lang="ru-RU" baseline="0"/>
              <a:t> освітньої субвенції</a:t>
            </a:r>
            <a:endParaRPr lang="ru-RU"/>
          </a:p>
        </c:rich>
      </c:tx>
      <c:layout/>
    </c:title>
    <c:plotArea>
      <c:layout>
        <c:manualLayout>
          <c:layoutTarget val="inner"/>
          <c:xMode val="edge"/>
          <c:yMode val="edge"/>
          <c:x val="9.1535367780520238E-2"/>
          <c:y val="0.12643671020412389"/>
          <c:w val="0.8802722607435266"/>
          <c:h val="0.79979168284437963"/>
        </c:manualLayout>
      </c:layout>
      <c:barChart>
        <c:barDir val="col"/>
        <c:grouping val="clustered"/>
        <c:ser>
          <c:idx val="0"/>
          <c:order val="0"/>
          <c:tx>
            <c:strRef>
              <c:f>ПДФО!$A$2</c:f>
              <c:strCache>
                <c:ptCount val="1"/>
                <c:pt idx="0">
                  <c:v>ПДФО</c:v>
                </c:pt>
              </c:strCache>
            </c:strRef>
          </c:tx>
          <c:spPr>
            <a:gradFill flip="none" rotWithShape="1">
              <a:gsLst>
                <a:gs pos="0">
                  <a:schemeClr val="accent1">
                    <a:shade val="30000"/>
                    <a:satMod val="115000"/>
                  </a:schemeClr>
                </a:gs>
                <a:gs pos="50000">
                  <a:schemeClr val="accent1">
                    <a:shade val="67500"/>
                    <a:satMod val="115000"/>
                  </a:schemeClr>
                </a:gs>
                <a:gs pos="100000">
                  <a:schemeClr val="accent1">
                    <a:shade val="100000"/>
                    <a:satMod val="115000"/>
                  </a:schemeClr>
                </a:gs>
              </a:gsLst>
              <a:path path="circle">
                <a:fillToRect l="100000" t="100000"/>
              </a:path>
              <a:tileRect r="-100000" b="-100000"/>
            </a:gradFill>
            <a:effectLst>
              <a:glow rad="228600">
                <a:schemeClr val="accent1">
                  <a:satMod val="175000"/>
                  <a:alpha val="40000"/>
                </a:schemeClr>
              </a:glow>
            </a:effectLst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3.3167495854063036E-3"/>
                  <c:y val="-2.3668639053254437E-2"/>
                </c:manualLayout>
              </c:layout>
              <c:showVal val="1"/>
            </c:dLbl>
            <c:dLbl>
              <c:idx val="1"/>
              <c:layout>
                <c:manualLayout>
                  <c:x val="2.1378941742383772E-3"/>
                  <c:y val="-3.0512155743866606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3.4188034188034191E-2"/>
                </c:manualLayout>
              </c:layout>
              <c:showVal val="1"/>
            </c:dLbl>
            <c:dLbl>
              <c:idx val="3"/>
              <c:layout>
                <c:manualLayout>
                  <c:x val="3.3167495854063036E-3"/>
                  <c:y val="-2.3668639053254437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-2.0341437162577761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uk-UA"/>
              </a:p>
            </c:txPr>
            <c:showVal val="1"/>
          </c:dLbls>
          <c:cat>
            <c:strRef>
              <c:f>ПДФО!$B$1:$F$1</c:f>
              <c:strCache>
                <c:ptCount val="5"/>
                <c:pt idx="0">
                  <c:v>2024р</c:v>
                </c:pt>
                <c:pt idx="1">
                  <c:v>2025р</c:v>
                </c:pt>
                <c:pt idx="2">
                  <c:v>2026р</c:v>
                </c:pt>
                <c:pt idx="3">
                  <c:v>2027р</c:v>
                </c:pt>
                <c:pt idx="4">
                  <c:v>2028р</c:v>
                </c:pt>
              </c:strCache>
            </c:strRef>
          </c:cat>
          <c:val>
            <c:numRef>
              <c:f>ПДФО!$B$2:$F$2</c:f>
              <c:numCache>
                <c:formatCode>General</c:formatCode>
                <c:ptCount val="5"/>
                <c:pt idx="0">
                  <c:v>164367.6</c:v>
                </c:pt>
                <c:pt idx="1">
                  <c:v>110196.4</c:v>
                </c:pt>
                <c:pt idx="2">
                  <c:v>180910.3</c:v>
                </c:pt>
                <c:pt idx="3">
                  <c:v>195195.4</c:v>
                </c:pt>
                <c:pt idx="4">
                  <c:v>209480.5</c:v>
                </c:pt>
              </c:numCache>
            </c:numRef>
          </c:val>
        </c:ser>
        <c:axId val="96959872"/>
        <c:axId val="112379008"/>
      </c:barChart>
      <c:catAx>
        <c:axId val="9695987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 b="1"/>
            </a:pPr>
            <a:endParaRPr lang="uk-UA"/>
          </a:p>
        </c:txPr>
        <c:crossAx val="112379008"/>
        <c:crosses val="autoZero"/>
        <c:auto val="1"/>
        <c:lblAlgn val="ctr"/>
        <c:lblOffset val="100"/>
      </c:catAx>
      <c:valAx>
        <c:axId val="112379008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800" b="1"/>
            </a:pPr>
            <a:endParaRPr lang="uk-UA"/>
          </a:p>
        </c:txPr>
        <c:crossAx val="96959872"/>
        <c:crosses val="autoZero"/>
        <c:crossBetween val="between"/>
      </c:valAx>
    </c:plotArea>
    <c:plotVisOnly val="1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0.39872</cdr:x>
      <cdr:y>0.53902</cdr:y>
    </cdr:from>
    <cdr:to>
      <cdr:x>0.48744</cdr:x>
      <cdr:y>0.61791</cdr:y>
    </cdr:to>
    <cdr:sp macro="" textlink="">
      <cdr:nvSpPr>
        <cdr:cNvPr id="6" name="Стрелка вправо 5"/>
        <cdr:cNvSpPr/>
      </cdr:nvSpPr>
      <cdr:spPr>
        <a:xfrm xmlns:a="http://schemas.openxmlformats.org/drawingml/2006/main">
          <a:off x="2368550" y="2019194"/>
          <a:ext cx="527050" cy="295526"/>
        </a:xfrm>
        <a:prstGeom xmlns:a="http://schemas.openxmlformats.org/drawingml/2006/main" prst="rightArrow">
          <a:avLst/>
        </a:prstGeom>
        <a:solidFill xmlns:a="http://schemas.openxmlformats.org/drawingml/2006/main">
          <a:sysClr val="window" lastClr="FFFFFF"/>
        </a:solidFill>
        <a:ln xmlns:a="http://schemas.openxmlformats.org/drawingml/2006/main" w="25400" cap="flat" cmpd="sng" algn="ctr">
          <a:solidFill>
            <a:srgbClr val="4F81BD">
              <a:shade val="50000"/>
            </a:srgb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r>
            <a:rPr lang="ru-RU" sz="600" b="1">
              <a:solidFill>
                <a:schemeClr val="tx1"/>
              </a:solidFill>
              <a:latin typeface="Calibri"/>
              <a:ea typeface="+mn-ea"/>
              <a:cs typeface="+mn-cs"/>
            </a:rPr>
            <a:t>164,2%</a:t>
          </a:r>
          <a:endParaRPr lang="ru-RU" sz="600">
            <a:solidFill>
              <a:schemeClr val="tx1"/>
            </a:solidFill>
          </a:endParaRPr>
        </a:p>
      </cdr:txBody>
    </cdr:sp>
  </cdr:relSizeAnchor>
  <cdr:relSizeAnchor xmlns:cdr="http://schemas.openxmlformats.org/drawingml/2006/chartDrawing">
    <cdr:from>
      <cdr:x>0.5783</cdr:x>
      <cdr:y>0.41617</cdr:y>
    </cdr:from>
    <cdr:to>
      <cdr:x>0.66061</cdr:x>
      <cdr:y>0.49507</cdr:y>
    </cdr:to>
    <cdr:sp macro="" textlink="">
      <cdr:nvSpPr>
        <cdr:cNvPr id="7" name="Стрелка вправо 6"/>
        <cdr:cNvSpPr/>
      </cdr:nvSpPr>
      <cdr:spPr>
        <a:xfrm xmlns:a="http://schemas.openxmlformats.org/drawingml/2006/main">
          <a:off x="3435350" y="1558993"/>
          <a:ext cx="488950" cy="295563"/>
        </a:xfrm>
        <a:prstGeom xmlns:a="http://schemas.openxmlformats.org/drawingml/2006/main" prst="rightArrow">
          <a:avLst/>
        </a:prstGeom>
        <a:solidFill xmlns:a="http://schemas.openxmlformats.org/drawingml/2006/main">
          <a:schemeClr val="bg1"/>
        </a:solidFill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600" b="1">
              <a:solidFill>
                <a:schemeClr val="tx1"/>
              </a:solidFill>
            </a:rPr>
            <a:t>107,9%</a:t>
          </a:r>
        </a:p>
      </cdr:txBody>
    </cdr:sp>
  </cdr:relSizeAnchor>
  <cdr:relSizeAnchor xmlns:cdr="http://schemas.openxmlformats.org/drawingml/2006/chartDrawing">
    <cdr:from>
      <cdr:x>0.75681</cdr:x>
      <cdr:y>0.28205</cdr:y>
    </cdr:from>
    <cdr:to>
      <cdr:x>0.83955</cdr:x>
      <cdr:y>0.36095</cdr:y>
    </cdr:to>
    <cdr:sp macro="" textlink="">
      <cdr:nvSpPr>
        <cdr:cNvPr id="8" name="Стрелка вправо 7"/>
        <cdr:cNvSpPr/>
      </cdr:nvSpPr>
      <cdr:spPr>
        <a:xfrm xmlns:a="http://schemas.openxmlformats.org/drawingml/2006/main">
          <a:off x="4495800" y="1056573"/>
          <a:ext cx="491484" cy="295563"/>
        </a:xfrm>
        <a:prstGeom xmlns:a="http://schemas.openxmlformats.org/drawingml/2006/main" prst="rightArrow">
          <a:avLst/>
        </a:prstGeom>
        <a:solidFill xmlns:a="http://schemas.openxmlformats.org/drawingml/2006/main">
          <a:schemeClr val="bg1"/>
        </a:solidFill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600" b="1">
              <a:solidFill>
                <a:schemeClr val="tx1"/>
              </a:solidFill>
            </a:rPr>
            <a:t>107,3%</a:t>
          </a:r>
        </a:p>
      </cdr:txBody>
    </cdr:sp>
  </cdr:relSizeAnchor>
  <cdr:relSizeAnchor xmlns:cdr="http://schemas.openxmlformats.org/drawingml/2006/chartDrawing">
    <cdr:from>
      <cdr:x>0.22341</cdr:x>
      <cdr:y>0.6255</cdr:y>
    </cdr:from>
    <cdr:to>
      <cdr:x>0.31213</cdr:x>
      <cdr:y>0.70439</cdr:y>
    </cdr:to>
    <cdr:sp macro="" textlink="">
      <cdr:nvSpPr>
        <cdr:cNvPr id="5" name="Стрелка вправо 5"/>
        <cdr:cNvSpPr/>
      </cdr:nvSpPr>
      <cdr:spPr>
        <a:xfrm xmlns:a="http://schemas.openxmlformats.org/drawingml/2006/main">
          <a:off x="1327150" y="2343150"/>
          <a:ext cx="527050" cy="295526"/>
        </a:xfrm>
        <a:prstGeom xmlns:a="http://schemas.openxmlformats.org/drawingml/2006/main" prst="rightArrow">
          <a:avLst/>
        </a:prstGeom>
        <a:solidFill xmlns:a="http://schemas.openxmlformats.org/drawingml/2006/main">
          <a:sysClr val="window" lastClr="FFFFFF"/>
        </a:solidFill>
        <a:ln xmlns:a="http://schemas.openxmlformats.org/drawingml/2006/main" w="25400" cap="flat" cmpd="sng" algn="ctr">
          <a:solidFill>
            <a:srgbClr val="4F81BD">
              <a:shade val="50000"/>
            </a:srgb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r>
            <a:rPr lang="ru-RU" sz="600" b="1">
              <a:solidFill>
                <a:sysClr val="windowText" lastClr="000000"/>
              </a:solidFill>
              <a:latin typeface="Calibri"/>
            </a:rPr>
            <a:t>    67%</a:t>
          </a:r>
          <a:endParaRPr lang="ru-RU" sz="600">
            <a:solidFill>
              <a:sysClr val="windowText" lastClr="00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3064</Words>
  <Characters>1748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Nachalnik</cp:lastModifiedBy>
  <cp:revision>24</cp:revision>
  <cp:lastPrinted>2025-08-25T07:33:00Z</cp:lastPrinted>
  <dcterms:created xsi:type="dcterms:W3CDTF">2021-08-20T08:08:00Z</dcterms:created>
  <dcterms:modified xsi:type="dcterms:W3CDTF">2025-08-25T07:33:00Z</dcterms:modified>
</cp:coreProperties>
</file>