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rawings/drawing3.xml" ContentType="application/vnd.openxmlformats-officedocument.drawingml.chartshapes+xml"/>
  <Override PartName="/word/drawings/drawing4.xml" ContentType="application/vnd.openxmlformats-officedocument.drawingml.chartshapes+xml"/>
  <Override PartName="/word/drawings/drawing5.xml" ContentType="application/vnd.openxmlformats-officedocument.drawingml.chartshap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8D9" w:rsidRPr="00EF38D9" w:rsidRDefault="00EF38D9" w:rsidP="00EF38D9">
      <w:pPr>
        <w:spacing w:after="0" w:line="240" w:lineRule="auto"/>
        <w:ind w:left="495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38D9">
        <w:rPr>
          <w:rFonts w:ascii="Times New Roman" w:hAnsi="Times New Roman" w:cs="Times New Roman"/>
          <w:b/>
          <w:sz w:val="28"/>
          <w:szCs w:val="28"/>
          <w:lang w:val="uk-UA"/>
        </w:rPr>
        <w:t>СХВАЛЕНО</w:t>
      </w:r>
    </w:p>
    <w:p w:rsidR="00EF38D9" w:rsidRPr="00EF38D9" w:rsidRDefault="00EF38D9" w:rsidP="00EF38D9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38D9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EF38D9">
        <w:rPr>
          <w:rFonts w:ascii="Times New Roman" w:hAnsi="Times New Roman" w:cs="Times New Roman"/>
          <w:sz w:val="28"/>
          <w:szCs w:val="28"/>
          <w:lang w:val="uk-UA"/>
        </w:rPr>
        <w:t xml:space="preserve">иконавчого комітету </w:t>
      </w:r>
    </w:p>
    <w:p w:rsidR="00EF38D9" w:rsidRDefault="00EF38D9" w:rsidP="00EF38D9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Лубенської</w:t>
      </w:r>
      <w:r w:rsidRPr="00EF38D9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</w:p>
    <w:p w:rsidR="00B65BA4" w:rsidRPr="00EF38D9" w:rsidRDefault="00B65BA4" w:rsidP="00EF38D9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Лубенського району</w:t>
      </w:r>
    </w:p>
    <w:p w:rsidR="00EF38D9" w:rsidRPr="00EF38D9" w:rsidRDefault="00146358" w:rsidP="00EF38D9">
      <w:pPr>
        <w:spacing w:after="0" w:line="240" w:lineRule="auto"/>
        <w:ind w:left="495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54CF">
        <w:rPr>
          <w:rFonts w:ascii="Times New Roman" w:hAnsi="Times New Roman" w:cs="Times New Roman"/>
          <w:sz w:val="28"/>
          <w:szCs w:val="28"/>
          <w:lang w:val="uk-UA"/>
        </w:rPr>
        <w:t>27 серпня</w:t>
      </w:r>
      <w:r w:rsidR="00EF38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38D9" w:rsidRPr="00EF38D9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EF38D9" w:rsidRPr="00EF38D9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</w:p>
    <w:p w:rsidR="00EF38D9" w:rsidRDefault="00EF38D9" w:rsidP="00711D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12E1B" w:rsidRDefault="00711D23" w:rsidP="00711D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1D23">
        <w:rPr>
          <w:rFonts w:ascii="Times New Roman" w:hAnsi="Times New Roman" w:cs="Times New Roman"/>
          <w:b/>
          <w:sz w:val="28"/>
          <w:szCs w:val="28"/>
          <w:lang w:val="uk-UA"/>
        </w:rPr>
        <w:t>Прогноз</w:t>
      </w:r>
    </w:p>
    <w:p w:rsidR="00711D23" w:rsidRPr="00711D23" w:rsidRDefault="00711D23" w:rsidP="00711D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1D23">
        <w:rPr>
          <w:rFonts w:ascii="Times New Roman" w:hAnsi="Times New Roman" w:cs="Times New Roman"/>
          <w:b/>
          <w:sz w:val="28"/>
          <w:szCs w:val="28"/>
          <w:lang w:val="uk-UA"/>
        </w:rPr>
        <w:t>бюджету Лубенської міської територіальної громади</w:t>
      </w:r>
    </w:p>
    <w:p w:rsidR="00711D23" w:rsidRDefault="00711D23" w:rsidP="00711D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1D23">
        <w:rPr>
          <w:rFonts w:ascii="Times New Roman" w:hAnsi="Times New Roman" w:cs="Times New Roman"/>
          <w:b/>
          <w:sz w:val="28"/>
          <w:szCs w:val="28"/>
          <w:lang w:val="uk-UA"/>
        </w:rPr>
        <w:t>на 202</w:t>
      </w:r>
      <w:r w:rsidR="00146358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711D23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146358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711D2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</w:p>
    <w:p w:rsidR="00B65BA4" w:rsidRPr="00711D23" w:rsidRDefault="00B65BA4" w:rsidP="00711D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11D23" w:rsidRDefault="00711D23" w:rsidP="00711D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11D23">
        <w:rPr>
          <w:rFonts w:ascii="Times New Roman" w:hAnsi="Times New Roman" w:cs="Times New Roman"/>
          <w:sz w:val="24"/>
          <w:szCs w:val="24"/>
          <w:lang w:val="uk-UA"/>
        </w:rPr>
        <w:t>(_____</w:t>
      </w:r>
      <w:r w:rsidRPr="00711D23">
        <w:rPr>
          <w:rFonts w:ascii="Times New Roman" w:hAnsi="Times New Roman" w:cs="Times New Roman"/>
          <w:sz w:val="24"/>
          <w:szCs w:val="24"/>
          <w:u w:val="single"/>
          <w:lang w:val="uk-UA"/>
        </w:rPr>
        <w:t>16565000000</w:t>
      </w:r>
      <w:r w:rsidRPr="00711D23">
        <w:rPr>
          <w:rFonts w:ascii="Times New Roman" w:hAnsi="Times New Roman" w:cs="Times New Roman"/>
          <w:sz w:val="24"/>
          <w:szCs w:val="24"/>
          <w:lang w:val="uk-UA"/>
        </w:rPr>
        <w:t>_______)</w:t>
      </w:r>
    </w:p>
    <w:p w:rsidR="00711D23" w:rsidRDefault="00711D23" w:rsidP="00711D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711D23">
        <w:rPr>
          <w:rFonts w:ascii="Times New Roman" w:hAnsi="Times New Roman" w:cs="Times New Roman"/>
          <w:sz w:val="24"/>
          <w:szCs w:val="24"/>
          <w:lang w:val="uk-UA"/>
        </w:rPr>
        <w:t>код бюджету)</w:t>
      </w:r>
    </w:p>
    <w:p w:rsidR="00711D23" w:rsidRDefault="00711D23" w:rsidP="00711D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11D23" w:rsidRPr="00711D23" w:rsidRDefault="00711D23" w:rsidP="00711D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1D23">
        <w:rPr>
          <w:rFonts w:ascii="Times New Roman" w:hAnsi="Times New Roman" w:cs="Times New Roman"/>
          <w:b/>
          <w:sz w:val="28"/>
          <w:szCs w:val="28"/>
          <w:lang w:val="uk-UA"/>
        </w:rPr>
        <w:t>І. Загальна частина</w:t>
      </w:r>
    </w:p>
    <w:p w:rsidR="00711D23" w:rsidRDefault="00711D23" w:rsidP="00711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302E41" w:rsidRDefault="00782D2B" w:rsidP="00F331B7">
      <w:pPr>
        <w:spacing w:after="0" w:line="360" w:lineRule="auto"/>
        <w:ind w:firstLine="454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Відповідно до Закону України від 18.09.2024 р. № 3979-1Х «Про внесення змін до Бюджетного кодексу України щодо відновлення середньострокового бюджетного планування на місцевому рівні та приведення окремих</w:t>
      </w:r>
      <w:r w:rsidR="00302E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його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положен</w:t>
      </w:r>
      <w:r w:rsidR="00302E41">
        <w:rPr>
          <w:rFonts w:ascii="Times New Roman" w:hAnsi="Times New Roman" w:cs="Times New Roman"/>
          <w:bCs/>
          <w:sz w:val="28"/>
          <w:szCs w:val="28"/>
          <w:lang w:val="uk-UA"/>
        </w:rPr>
        <w:t>ь у відповідність із законами України» відновлено середньострокове бюджетне планування на місцевому рівні.</w:t>
      </w:r>
    </w:p>
    <w:p w:rsidR="00302E41" w:rsidRDefault="00302E41" w:rsidP="00F331B7">
      <w:pPr>
        <w:spacing w:after="0" w:line="360" w:lineRule="auto"/>
        <w:ind w:firstLine="454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Головним документом у контексті середньострокового бюджетного планування є прогноз місцевого бюджету, який є основою для складанні проекту місцевого бюджету (стаття 75</w:t>
      </w:r>
      <w:r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Бюджетного кодексу України).</w:t>
      </w:r>
    </w:p>
    <w:p w:rsidR="00DE4B28" w:rsidRDefault="00550010" w:rsidP="00F331B7">
      <w:pPr>
        <w:spacing w:after="0" w:line="360" w:lineRule="auto"/>
        <w:ind w:firstLine="454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D26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Прогноз </w:t>
      </w:r>
      <w:r w:rsidR="00302E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Pr="00BD26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бюджету </w:t>
      </w:r>
      <w:r w:rsidR="00302E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BD26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Лубенської міської територіальної громади на </w:t>
      </w:r>
      <w:r w:rsidR="009B506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Pr="00BD26AC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 w:rsidR="0009450E">
        <w:rPr>
          <w:rFonts w:ascii="Times New Roman" w:hAnsi="Times New Roman" w:cs="Times New Roman"/>
          <w:bCs/>
          <w:sz w:val="28"/>
          <w:szCs w:val="28"/>
          <w:lang w:val="uk-UA"/>
        </w:rPr>
        <w:t>6</w:t>
      </w:r>
      <w:r w:rsidRPr="00BD26AC">
        <w:rPr>
          <w:rFonts w:ascii="Times New Roman" w:hAnsi="Times New Roman" w:cs="Times New Roman"/>
          <w:bCs/>
          <w:sz w:val="28"/>
          <w:szCs w:val="28"/>
          <w:lang w:val="uk-UA"/>
        </w:rPr>
        <w:t>-202</w:t>
      </w:r>
      <w:r w:rsidR="0009450E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Pr="00BD26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роки  </w:t>
      </w:r>
      <w:r w:rsidR="00C54AC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(далі – Прогноз) </w:t>
      </w:r>
      <w:r w:rsidR="00BD26AC" w:rsidRPr="00BD26AC">
        <w:rPr>
          <w:rFonts w:ascii="Times New Roman" w:hAnsi="Times New Roman" w:cs="Times New Roman"/>
          <w:bCs/>
          <w:sz w:val="28"/>
          <w:szCs w:val="28"/>
          <w:lang w:val="uk-UA"/>
        </w:rPr>
        <w:t>розроблен</w:t>
      </w:r>
      <w:r w:rsidR="00DE4B28">
        <w:rPr>
          <w:rFonts w:ascii="Times New Roman" w:hAnsi="Times New Roman" w:cs="Times New Roman"/>
          <w:bCs/>
          <w:sz w:val="28"/>
          <w:szCs w:val="28"/>
          <w:lang w:val="uk-UA"/>
        </w:rPr>
        <w:t>ий з урахуванням:</w:t>
      </w:r>
    </w:p>
    <w:p w:rsidR="00B7701D" w:rsidRPr="00302E41" w:rsidRDefault="00B7701D" w:rsidP="00302E41">
      <w:pPr>
        <w:pStyle w:val="ab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02E41">
        <w:rPr>
          <w:rFonts w:ascii="Times New Roman" w:hAnsi="Times New Roman" w:cs="Times New Roman"/>
          <w:bCs/>
          <w:sz w:val="28"/>
          <w:szCs w:val="28"/>
          <w:lang w:val="uk-UA"/>
        </w:rPr>
        <w:t>Конституції України;</w:t>
      </w:r>
    </w:p>
    <w:p w:rsidR="00DE4B28" w:rsidRPr="00302E41" w:rsidRDefault="00550010" w:rsidP="00302E41">
      <w:pPr>
        <w:pStyle w:val="ab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302E41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Бюджетного </w:t>
      </w:r>
      <w:r w:rsidR="00DE4B28" w:rsidRPr="00302E41">
        <w:rPr>
          <w:rFonts w:ascii="Times New Roman" w:hAnsi="Times New Roman" w:cs="Times New Roman"/>
          <w:spacing w:val="2"/>
          <w:sz w:val="28"/>
          <w:szCs w:val="28"/>
          <w:lang w:val="uk-UA"/>
        </w:rPr>
        <w:t>кодексу України;</w:t>
      </w:r>
      <w:r w:rsidRPr="00302E41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</w:t>
      </w:r>
    </w:p>
    <w:p w:rsidR="00DE4B28" w:rsidRPr="00302E41" w:rsidRDefault="00550010" w:rsidP="00302E41">
      <w:pPr>
        <w:pStyle w:val="ab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302E41">
        <w:rPr>
          <w:rFonts w:ascii="Times New Roman" w:hAnsi="Times New Roman" w:cs="Times New Roman"/>
          <w:spacing w:val="2"/>
          <w:sz w:val="28"/>
          <w:szCs w:val="28"/>
          <w:lang w:val="uk-UA"/>
        </w:rPr>
        <w:t>Податкового кодексів України</w:t>
      </w:r>
      <w:r w:rsidR="00DE4B28" w:rsidRPr="00302E41">
        <w:rPr>
          <w:rFonts w:ascii="Times New Roman" w:hAnsi="Times New Roman" w:cs="Times New Roman"/>
          <w:spacing w:val="2"/>
          <w:sz w:val="28"/>
          <w:szCs w:val="28"/>
          <w:lang w:val="uk-UA"/>
        </w:rPr>
        <w:t>;</w:t>
      </w:r>
    </w:p>
    <w:p w:rsidR="00DE4B28" w:rsidRPr="00302E41" w:rsidRDefault="001A0FA1" w:rsidP="00302E41">
      <w:pPr>
        <w:pStyle w:val="ab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302E41">
        <w:rPr>
          <w:rFonts w:ascii="Times New Roman" w:hAnsi="Times New Roman" w:cs="Times New Roman"/>
          <w:spacing w:val="2"/>
          <w:sz w:val="28"/>
          <w:szCs w:val="28"/>
          <w:lang w:val="uk-UA"/>
        </w:rPr>
        <w:t>Закону України «Про місцеве самоврядування в Україні»</w:t>
      </w:r>
      <w:r w:rsidR="00DE4B28" w:rsidRPr="00302E41">
        <w:rPr>
          <w:rFonts w:ascii="Times New Roman" w:hAnsi="Times New Roman" w:cs="Times New Roman"/>
          <w:spacing w:val="2"/>
          <w:sz w:val="28"/>
          <w:szCs w:val="28"/>
          <w:lang w:val="uk-UA"/>
        </w:rPr>
        <w:t>;</w:t>
      </w:r>
    </w:p>
    <w:p w:rsidR="00C0152F" w:rsidRPr="00302E41" w:rsidRDefault="00C0152F" w:rsidP="00302E41">
      <w:pPr>
        <w:pStyle w:val="ab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2E41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засади державної регіональної політики»; </w:t>
      </w:r>
    </w:p>
    <w:p w:rsidR="00834499" w:rsidRDefault="00C0152F" w:rsidP="00302E41">
      <w:pPr>
        <w:pStyle w:val="ab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2E41">
        <w:rPr>
          <w:rFonts w:ascii="Times New Roman" w:hAnsi="Times New Roman" w:cs="Times New Roman"/>
          <w:sz w:val="28"/>
          <w:szCs w:val="28"/>
          <w:lang w:val="uk-UA"/>
        </w:rPr>
        <w:t>Бюджетної декларації</w:t>
      </w:r>
      <w:r w:rsidR="009D6EA6">
        <w:rPr>
          <w:rFonts w:ascii="Times New Roman" w:hAnsi="Times New Roman" w:cs="Times New Roman"/>
          <w:sz w:val="28"/>
          <w:szCs w:val="28"/>
          <w:lang w:val="uk-UA"/>
        </w:rPr>
        <w:t>, яка затверджена Постановою Кабінету Міністрів</w:t>
      </w:r>
    </w:p>
    <w:p w:rsidR="00834499" w:rsidRPr="00834499" w:rsidRDefault="009D6EA6" w:rsidP="00834499">
      <w:pPr>
        <w:spacing w:after="0" w:line="360" w:lineRule="auto"/>
        <w:ind w:left="45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4499">
        <w:rPr>
          <w:rFonts w:ascii="Times New Roman" w:hAnsi="Times New Roman" w:cs="Times New Roman"/>
          <w:sz w:val="28"/>
          <w:szCs w:val="28"/>
          <w:lang w:val="uk-UA"/>
        </w:rPr>
        <w:t>України від 27 червня 2025 року № 774</w:t>
      </w:r>
      <w:r w:rsidR="00834499" w:rsidRPr="00834499">
        <w:rPr>
          <w:rFonts w:ascii="Times New Roman" w:hAnsi="Times New Roman" w:cs="Times New Roman"/>
          <w:sz w:val="28"/>
          <w:szCs w:val="28"/>
          <w:lang w:val="uk-UA"/>
        </w:rPr>
        <w:t xml:space="preserve">, положення та показники якої ґрунтуються на пріоритетних завданнях, спрямованих на європейську інтеграцію України, та стратегічних орієнтирах розвитку держави, визначених у: </w:t>
      </w:r>
    </w:p>
    <w:p w:rsidR="0018117E" w:rsidRDefault="00366822" w:rsidP="0018117E">
      <w:pPr>
        <w:pStyle w:val="ab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М</w:t>
      </w:r>
      <w:r w:rsidR="00834499" w:rsidRPr="00834499">
        <w:rPr>
          <w:rFonts w:ascii="Times New Roman" w:hAnsi="Times New Roman" w:cs="Times New Roman"/>
          <w:sz w:val="28"/>
          <w:szCs w:val="28"/>
          <w:lang w:val="uk-UA"/>
        </w:rPr>
        <w:t>еморандумі про економічну та фінансову політику від 21.03.2025</w:t>
      </w:r>
    </w:p>
    <w:p w:rsidR="0018117E" w:rsidRDefault="00834499" w:rsidP="0018117E">
      <w:pPr>
        <w:spacing w:after="0" w:line="360" w:lineRule="auto"/>
        <w:ind w:left="117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117E">
        <w:rPr>
          <w:rFonts w:ascii="Times New Roman" w:hAnsi="Times New Roman" w:cs="Times New Roman"/>
          <w:sz w:val="28"/>
          <w:szCs w:val="28"/>
          <w:lang w:val="uk-UA"/>
        </w:rPr>
        <w:t xml:space="preserve"> року в рамках спільної з Міжнародним валютним фондом програми Механізму розширеного фінансування (</w:t>
      </w:r>
      <w:r w:rsidRPr="0018117E">
        <w:rPr>
          <w:rFonts w:ascii="Times New Roman" w:hAnsi="Times New Roman" w:cs="Times New Roman"/>
          <w:sz w:val="28"/>
          <w:szCs w:val="28"/>
        </w:rPr>
        <w:t>Extended</w:t>
      </w:r>
      <w:r w:rsidRPr="001811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117E">
        <w:rPr>
          <w:rFonts w:ascii="Times New Roman" w:hAnsi="Times New Roman" w:cs="Times New Roman"/>
          <w:sz w:val="28"/>
          <w:szCs w:val="28"/>
        </w:rPr>
        <w:t>Fund</w:t>
      </w:r>
      <w:r w:rsidRPr="001811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117E">
        <w:rPr>
          <w:rFonts w:ascii="Times New Roman" w:hAnsi="Times New Roman" w:cs="Times New Roman"/>
          <w:sz w:val="28"/>
          <w:szCs w:val="28"/>
        </w:rPr>
        <w:t>Facility</w:t>
      </w:r>
      <w:r w:rsidRPr="0018117E">
        <w:rPr>
          <w:rFonts w:ascii="Times New Roman" w:hAnsi="Times New Roman" w:cs="Times New Roman"/>
          <w:sz w:val="28"/>
          <w:szCs w:val="28"/>
          <w:lang w:val="uk-UA"/>
        </w:rPr>
        <w:t xml:space="preserve">); </w:t>
      </w:r>
    </w:p>
    <w:p w:rsidR="0018117E" w:rsidRDefault="00366822" w:rsidP="0018117E">
      <w:pPr>
        <w:pStyle w:val="ab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834499" w:rsidRPr="0018117E">
        <w:rPr>
          <w:rFonts w:ascii="Times New Roman" w:hAnsi="Times New Roman" w:cs="Times New Roman"/>
          <w:sz w:val="28"/>
          <w:szCs w:val="28"/>
          <w:lang w:val="uk-UA"/>
        </w:rPr>
        <w:t>екомендаціях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4499" w:rsidRPr="0018117E">
        <w:rPr>
          <w:rFonts w:ascii="Times New Roman" w:hAnsi="Times New Roman" w:cs="Times New Roman"/>
          <w:sz w:val="28"/>
          <w:szCs w:val="28"/>
          <w:lang w:val="uk-UA"/>
        </w:rPr>
        <w:t xml:space="preserve">Європейської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4499" w:rsidRPr="0018117E">
        <w:rPr>
          <w:rFonts w:ascii="Times New Roman" w:hAnsi="Times New Roman" w:cs="Times New Roman"/>
          <w:sz w:val="28"/>
          <w:szCs w:val="28"/>
          <w:lang w:val="uk-UA"/>
        </w:rPr>
        <w:t xml:space="preserve">комісії,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4499" w:rsidRPr="0018117E">
        <w:rPr>
          <w:rFonts w:ascii="Times New Roman" w:hAnsi="Times New Roman" w:cs="Times New Roman"/>
          <w:sz w:val="28"/>
          <w:szCs w:val="28"/>
          <w:lang w:val="uk-UA"/>
        </w:rPr>
        <w:t xml:space="preserve">представлених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34499" w:rsidRPr="0018117E">
        <w:rPr>
          <w:rFonts w:ascii="Times New Roman" w:hAnsi="Times New Roman" w:cs="Times New Roman"/>
          <w:sz w:val="28"/>
          <w:szCs w:val="28"/>
          <w:lang w:val="uk-UA"/>
        </w:rPr>
        <w:t>у звіті про</w:t>
      </w:r>
    </w:p>
    <w:p w:rsidR="0018117E" w:rsidRDefault="00834499" w:rsidP="0018117E">
      <w:pPr>
        <w:spacing w:after="0" w:line="360" w:lineRule="auto"/>
        <w:ind w:left="117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117E">
        <w:rPr>
          <w:rFonts w:ascii="Times New Roman" w:hAnsi="Times New Roman" w:cs="Times New Roman"/>
          <w:sz w:val="28"/>
          <w:szCs w:val="28"/>
          <w:lang w:val="uk-UA"/>
        </w:rPr>
        <w:t>прогрес України в рамках Пакета розширення Європейського Союзу 2024 року (</w:t>
      </w:r>
      <w:r w:rsidRPr="0018117E">
        <w:rPr>
          <w:rFonts w:ascii="Times New Roman" w:hAnsi="Times New Roman" w:cs="Times New Roman"/>
          <w:sz w:val="28"/>
          <w:szCs w:val="28"/>
        </w:rPr>
        <w:t>Brussels</w:t>
      </w:r>
      <w:r w:rsidRPr="0018117E">
        <w:rPr>
          <w:rFonts w:ascii="Times New Roman" w:hAnsi="Times New Roman" w:cs="Times New Roman"/>
          <w:sz w:val="28"/>
          <w:szCs w:val="28"/>
          <w:lang w:val="uk-UA"/>
        </w:rPr>
        <w:t xml:space="preserve">, 30.10.2024, </w:t>
      </w:r>
      <w:r w:rsidRPr="0018117E">
        <w:rPr>
          <w:rFonts w:ascii="Times New Roman" w:hAnsi="Times New Roman" w:cs="Times New Roman"/>
          <w:sz w:val="28"/>
          <w:szCs w:val="28"/>
        </w:rPr>
        <w:t>SWD</w:t>
      </w:r>
      <w:r w:rsidRPr="0018117E">
        <w:rPr>
          <w:rFonts w:ascii="Times New Roman" w:hAnsi="Times New Roman" w:cs="Times New Roman"/>
          <w:sz w:val="28"/>
          <w:szCs w:val="28"/>
          <w:lang w:val="uk-UA"/>
        </w:rPr>
        <w:t xml:space="preserve"> (2024) 699 </w:t>
      </w:r>
      <w:r w:rsidRPr="0018117E">
        <w:rPr>
          <w:rFonts w:ascii="Times New Roman" w:hAnsi="Times New Roman" w:cs="Times New Roman"/>
          <w:sz w:val="28"/>
          <w:szCs w:val="28"/>
        </w:rPr>
        <w:t>final</w:t>
      </w:r>
      <w:r w:rsidRPr="0018117E">
        <w:rPr>
          <w:rFonts w:ascii="Times New Roman" w:hAnsi="Times New Roman" w:cs="Times New Roman"/>
          <w:sz w:val="28"/>
          <w:szCs w:val="28"/>
          <w:lang w:val="uk-UA"/>
        </w:rPr>
        <w:t xml:space="preserve">); </w:t>
      </w:r>
    </w:p>
    <w:p w:rsidR="0018117E" w:rsidRPr="0018117E" w:rsidRDefault="00570982" w:rsidP="0018117E">
      <w:pPr>
        <w:pStyle w:val="ab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834499" w:rsidRPr="0018117E">
        <w:rPr>
          <w:rFonts w:ascii="Times New Roman" w:hAnsi="Times New Roman" w:cs="Times New Roman"/>
          <w:sz w:val="28"/>
          <w:szCs w:val="28"/>
          <w:lang w:val="uk-UA"/>
        </w:rPr>
        <w:t xml:space="preserve">лані України в рамках інструменту підтримки Європейського союзу на 2024-2027 роки </w:t>
      </w:r>
      <w:r w:rsidR="00834499" w:rsidRPr="0018117E">
        <w:rPr>
          <w:rFonts w:ascii="Times New Roman" w:hAnsi="Times New Roman" w:cs="Times New Roman"/>
          <w:sz w:val="28"/>
          <w:szCs w:val="28"/>
        </w:rPr>
        <w:t>Ukraine</w:t>
      </w:r>
      <w:r w:rsidR="00834499" w:rsidRPr="001811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4499" w:rsidRPr="0018117E">
        <w:rPr>
          <w:rFonts w:ascii="Times New Roman" w:hAnsi="Times New Roman" w:cs="Times New Roman"/>
          <w:sz w:val="28"/>
          <w:szCs w:val="28"/>
        </w:rPr>
        <w:t>Facility</w:t>
      </w:r>
      <w:r w:rsidR="00834499" w:rsidRPr="0018117E">
        <w:rPr>
          <w:rFonts w:ascii="Times New Roman" w:hAnsi="Times New Roman" w:cs="Times New Roman"/>
          <w:sz w:val="28"/>
          <w:szCs w:val="28"/>
          <w:lang w:val="uk-UA"/>
        </w:rPr>
        <w:t xml:space="preserve">; Умовах кредитного інструменту Світового Банку </w:t>
      </w:r>
      <w:r w:rsidR="00834499" w:rsidRPr="0018117E">
        <w:rPr>
          <w:rFonts w:ascii="Times New Roman" w:hAnsi="Times New Roman" w:cs="Times New Roman"/>
          <w:sz w:val="28"/>
          <w:szCs w:val="28"/>
        </w:rPr>
        <w:t>Development</w:t>
      </w:r>
      <w:r w:rsidR="00834499" w:rsidRPr="001811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4499" w:rsidRPr="0018117E">
        <w:rPr>
          <w:rFonts w:ascii="Times New Roman" w:hAnsi="Times New Roman" w:cs="Times New Roman"/>
          <w:sz w:val="28"/>
          <w:szCs w:val="28"/>
        </w:rPr>
        <w:t>Policy</w:t>
      </w:r>
      <w:r w:rsidR="00834499" w:rsidRPr="001811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4499" w:rsidRPr="0018117E">
        <w:rPr>
          <w:rFonts w:ascii="Times New Roman" w:hAnsi="Times New Roman" w:cs="Times New Roman"/>
          <w:sz w:val="28"/>
          <w:szCs w:val="28"/>
        </w:rPr>
        <w:t>Loan</w:t>
      </w:r>
      <w:r w:rsidR="00834499" w:rsidRPr="0018117E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18117E" w:rsidRDefault="00570982" w:rsidP="0018117E">
      <w:pPr>
        <w:pStyle w:val="ab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834499" w:rsidRPr="00834499">
        <w:rPr>
          <w:rFonts w:ascii="Times New Roman" w:hAnsi="Times New Roman" w:cs="Times New Roman"/>
          <w:sz w:val="28"/>
          <w:szCs w:val="28"/>
          <w:lang w:val="uk-UA"/>
        </w:rPr>
        <w:t xml:space="preserve">лані Перемоги, представленому Президентом України; </w:t>
      </w:r>
    </w:p>
    <w:p w:rsidR="0018117E" w:rsidRDefault="00834499" w:rsidP="0018117E">
      <w:pPr>
        <w:pStyle w:val="ab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4499">
        <w:rPr>
          <w:rFonts w:ascii="Times New Roman" w:hAnsi="Times New Roman" w:cs="Times New Roman"/>
          <w:sz w:val="28"/>
          <w:szCs w:val="28"/>
          <w:lang w:val="uk-UA"/>
        </w:rPr>
        <w:t xml:space="preserve">Національній стратегії доходів до 2030 року; </w:t>
      </w:r>
    </w:p>
    <w:p w:rsidR="0018117E" w:rsidRDefault="00834499" w:rsidP="0018117E">
      <w:pPr>
        <w:pStyle w:val="ab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4499">
        <w:rPr>
          <w:rFonts w:ascii="Times New Roman" w:hAnsi="Times New Roman" w:cs="Times New Roman"/>
          <w:sz w:val="28"/>
          <w:szCs w:val="28"/>
          <w:lang w:val="uk-UA"/>
        </w:rPr>
        <w:t xml:space="preserve">Середньостроковій </w:t>
      </w:r>
      <w:r w:rsidR="003668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4499">
        <w:rPr>
          <w:rFonts w:ascii="Times New Roman" w:hAnsi="Times New Roman" w:cs="Times New Roman"/>
          <w:sz w:val="28"/>
          <w:szCs w:val="28"/>
          <w:lang w:val="uk-UA"/>
        </w:rPr>
        <w:t xml:space="preserve">стратегії </w:t>
      </w:r>
      <w:r w:rsidR="003668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4499">
        <w:rPr>
          <w:rFonts w:ascii="Times New Roman" w:hAnsi="Times New Roman" w:cs="Times New Roman"/>
          <w:sz w:val="28"/>
          <w:szCs w:val="28"/>
          <w:lang w:val="uk-UA"/>
        </w:rPr>
        <w:t>управління державним</w:t>
      </w:r>
      <w:r w:rsidR="003668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4499">
        <w:rPr>
          <w:rFonts w:ascii="Times New Roman" w:hAnsi="Times New Roman" w:cs="Times New Roman"/>
          <w:sz w:val="28"/>
          <w:szCs w:val="28"/>
          <w:lang w:val="uk-UA"/>
        </w:rPr>
        <w:t xml:space="preserve"> боргом </w:t>
      </w:r>
      <w:r w:rsidR="003668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4499">
        <w:rPr>
          <w:rFonts w:ascii="Times New Roman" w:hAnsi="Times New Roman" w:cs="Times New Roman"/>
          <w:sz w:val="28"/>
          <w:szCs w:val="28"/>
          <w:lang w:val="uk-UA"/>
        </w:rPr>
        <w:t>на</w:t>
      </w:r>
    </w:p>
    <w:p w:rsidR="00570982" w:rsidRDefault="00834499" w:rsidP="0018117E">
      <w:pPr>
        <w:spacing w:after="0" w:line="360" w:lineRule="auto"/>
        <w:ind w:left="117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117E">
        <w:rPr>
          <w:rFonts w:ascii="Times New Roman" w:hAnsi="Times New Roman" w:cs="Times New Roman"/>
          <w:sz w:val="28"/>
          <w:szCs w:val="28"/>
          <w:lang w:val="uk-UA"/>
        </w:rPr>
        <w:t xml:space="preserve">2024–2026 роки; </w:t>
      </w:r>
    </w:p>
    <w:p w:rsidR="00570982" w:rsidRPr="00570982" w:rsidRDefault="00366822" w:rsidP="00570982">
      <w:pPr>
        <w:pStyle w:val="ab"/>
        <w:numPr>
          <w:ilvl w:val="0"/>
          <w:numId w:val="12"/>
        </w:numPr>
        <w:spacing w:after="0" w:line="360" w:lineRule="auto"/>
        <w:ind w:left="1560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834499" w:rsidRPr="00570982">
        <w:rPr>
          <w:rFonts w:ascii="Times New Roman" w:hAnsi="Times New Roman" w:cs="Times New Roman"/>
          <w:sz w:val="28"/>
          <w:szCs w:val="28"/>
          <w:lang w:val="uk-UA"/>
        </w:rPr>
        <w:t>орожній карті реформування системи управління публічними</w:t>
      </w:r>
    </w:p>
    <w:p w:rsidR="00570982" w:rsidRDefault="00834499" w:rsidP="00570982">
      <w:pPr>
        <w:spacing w:after="0" w:line="360" w:lineRule="auto"/>
        <w:ind w:left="454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0982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інвестиціями на 2024–2028 роки;</w:t>
      </w:r>
    </w:p>
    <w:p w:rsidR="00570982" w:rsidRDefault="00834499" w:rsidP="00570982">
      <w:pPr>
        <w:pStyle w:val="ab"/>
        <w:numPr>
          <w:ilvl w:val="0"/>
          <w:numId w:val="12"/>
        </w:numPr>
        <w:spacing w:after="0" w:line="360" w:lineRule="auto"/>
        <w:ind w:left="1560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0982">
        <w:rPr>
          <w:rFonts w:ascii="Times New Roman" w:hAnsi="Times New Roman" w:cs="Times New Roman"/>
          <w:sz w:val="28"/>
          <w:szCs w:val="28"/>
          <w:lang w:val="uk-UA"/>
        </w:rPr>
        <w:t xml:space="preserve">Законі </w:t>
      </w:r>
      <w:r w:rsidR="003668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70982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3668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70982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3668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70982">
        <w:rPr>
          <w:rFonts w:ascii="Times New Roman" w:hAnsi="Times New Roman" w:cs="Times New Roman"/>
          <w:sz w:val="28"/>
          <w:szCs w:val="28"/>
          <w:lang w:val="uk-UA"/>
        </w:rPr>
        <w:t>08.05.2025</w:t>
      </w:r>
      <w:r w:rsidR="00366822">
        <w:rPr>
          <w:rFonts w:ascii="Times New Roman" w:hAnsi="Times New Roman" w:cs="Times New Roman"/>
          <w:sz w:val="28"/>
          <w:szCs w:val="28"/>
          <w:lang w:val="uk-UA"/>
        </w:rPr>
        <w:t xml:space="preserve"> р. </w:t>
      </w:r>
      <w:r w:rsidRPr="00570982">
        <w:rPr>
          <w:rFonts w:ascii="Times New Roman" w:hAnsi="Times New Roman" w:cs="Times New Roman"/>
          <w:sz w:val="28"/>
          <w:szCs w:val="28"/>
          <w:lang w:val="uk-UA"/>
        </w:rPr>
        <w:t xml:space="preserve"> № 4417-ІХ </w:t>
      </w:r>
      <w:r w:rsidR="0036682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70982">
        <w:rPr>
          <w:rFonts w:ascii="Times New Roman" w:hAnsi="Times New Roman" w:cs="Times New Roman"/>
          <w:sz w:val="28"/>
          <w:szCs w:val="28"/>
          <w:lang w:val="uk-UA"/>
        </w:rPr>
        <w:t>“Про</w:t>
      </w:r>
      <w:r w:rsidR="0036682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70982">
        <w:rPr>
          <w:rFonts w:ascii="Times New Roman" w:hAnsi="Times New Roman" w:cs="Times New Roman"/>
          <w:sz w:val="28"/>
          <w:szCs w:val="28"/>
          <w:lang w:val="uk-UA"/>
        </w:rPr>
        <w:t xml:space="preserve"> ратифікацію</w:t>
      </w:r>
    </w:p>
    <w:p w:rsidR="00570982" w:rsidRDefault="00834499" w:rsidP="00570982">
      <w:pPr>
        <w:spacing w:after="0" w:line="360" w:lineRule="auto"/>
        <w:ind w:left="454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0982">
        <w:rPr>
          <w:rFonts w:ascii="Times New Roman" w:hAnsi="Times New Roman" w:cs="Times New Roman"/>
          <w:sz w:val="28"/>
          <w:szCs w:val="28"/>
          <w:lang w:val="uk-UA"/>
        </w:rPr>
        <w:t xml:space="preserve"> Угоди між Урядом України та Урядом Сполучених Штатів Америки</w:t>
      </w:r>
    </w:p>
    <w:p w:rsidR="00570982" w:rsidRDefault="00834499" w:rsidP="00570982">
      <w:pPr>
        <w:spacing w:after="0" w:line="360" w:lineRule="auto"/>
        <w:ind w:left="454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0982">
        <w:rPr>
          <w:rFonts w:ascii="Times New Roman" w:hAnsi="Times New Roman" w:cs="Times New Roman"/>
          <w:sz w:val="28"/>
          <w:szCs w:val="28"/>
          <w:lang w:val="uk-UA"/>
        </w:rPr>
        <w:t>про створення Американсько-Українського інвестиційного фонду</w:t>
      </w:r>
    </w:p>
    <w:p w:rsidR="00570982" w:rsidRDefault="00834499" w:rsidP="00570982">
      <w:pPr>
        <w:spacing w:after="0" w:line="360" w:lineRule="auto"/>
        <w:ind w:left="454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0982">
        <w:rPr>
          <w:rFonts w:ascii="Times New Roman" w:hAnsi="Times New Roman" w:cs="Times New Roman"/>
          <w:sz w:val="28"/>
          <w:szCs w:val="28"/>
          <w:lang w:val="uk-UA"/>
        </w:rPr>
        <w:t xml:space="preserve"> відбудови”</w:t>
      </w:r>
      <w:r w:rsidR="00831E37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5709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02E41" w:rsidRDefault="00C0152F" w:rsidP="00302E41">
      <w:pPr>
        <w:pStyle w:val="ab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2E41">
        <w:rPr>
          <w:rFonts w:ascii="Times New Roman" w:hAnsi="Times New Roman" w:cs="Times New Roman"/>
          <w:sz w:val="28"/>
          <w:szCs w:val="28"/>
          <w:lang w:val="uk-UA"/>
        </w:rPr>
        <w:t xml:space="preserve">постанови </w:t>
      </w:r>
      <w:r w:rsidR="0036682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302E41">
        <w:rPr>
          <w:rFonts w:ascii="Times New Roman" w:hAnsi="Times New Roman" w:cs="Times New Roman"/>
          <w:sz w:val="28"/>
          <w:szCs w:val="28"/>
          <w:lang w:val="uk-UA"/>
        </w:rPr>
        <w:t>Кабінету</w:t>
      </w:r>
      <w:r w:rsidR="003668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02E41">
        <w:rPr>
          <w:rFonts w:ascii="Times New Roman" w:hAnsi="Times New Roman" w:cs="Times New Roman"/>
          <w:sz w:val="28"/>
          <w:szCs w:val="28"/>
          <w:lang w:val="uk-UA"/>
        </w:rPr>
        <w:t xml:space="preserve"> Міністрів Україн</w:t>
      </w:r>
      <w:r w:rsidR="00302E41">
        <w:rPr>
          <w:rFonts w:ascii="Times New Roman" w:hAnsi="Times New Roman" w:cs="Times New Roman"/>
          <w:sz w:val="28"/>
          <w:szCs w:val="28"/>
          <w:lang w:val="uk-UA"/>
        </w:rPr>
        <w:t xml:space="preserve">и від 26 квітня </w:t>
      </w:r>
      <w:r w:rsidR="0036682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02E41">
        <w:rPr>
          <w:rFonts w:ascii="Times New Roman" w:hAnsi="Times New Roman" w:cs="Times New Roman"/>
          <w:sz w:val="28"/>
          <w:szCs w:val="28"/>
          <w:lang w:val="uk-UA"/>
        </w:rPr>
        <w:t xml:space="preserve">2003 </w:t>
      </w:r>
      <w:r w:rsidR="003668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2E41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3668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2E41">
        <w:rPr>
          <w:rFonts w:ascii="Times New Roman" w:hAnsi="Times New Roman" w:cs="Times New Roman"/>
          <w:sz w:val="28"/>
          <w:szCs w:val="28"/>
          <w:lang w:val="uk-UA"/>
        </w:rPr>
        <w:t>№ 621</w:t>
      </w:r>
    </w:p>
    <w:p w:rsidR="00302E41" w:rsidRDefault="00C0152F" w:rsidP="00302E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2E41">
        <w:rPr>
          <w:rFonts w:ascii="Times New Roman" w:hAnsi="Times New Roman" w:cs="Times New Roman"/>
          <w:sz w:val="28"/>
          <w:szCs w:val="28"/>
          <w:lang w:val="uk-UA"/>
        </w:rPr>
        <w:t xml:space="preserve">«Про розроблення прогнозних і програмних документів економічного і соціального розвитку та складання проектів Бюджетної декларації та державного бюджету»; </w:t>
      </w:r>
    </w:p>
    <w:p w:rsidR="00302E41" w:rsidRDefault="00C0152F" w:rsidP="00302E41">
      <w:pPr>
        <w:pStyle w:val="ab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2E41">
        <w:rPr>
          <w:rFonts w:ascii="Times New Roman" w:hAnsi="Times New Roman" w:cs="Times New Roman"/>
          <w:sz w:val="28"/>
          <w:szCs w:val="28"/>
          <w:lang w:val="uk-UA"/>
        </w:rPr>
        <w:t>постанови Кабінету Міністрів Україн</w:t>
      </w:r>
      <w:r w:rsidR="00302E41">
        <w:rPr>
          <w:rFonts w:ascii="Times New Roman" w:hAnsi="Times New Roman" w:cs="Times New Roman"/>
          <w:sz w:val="28"/>
          <w:szCs w:val="28"/>
          <w:lang w:val="uk-UA"/>
        </w:rPr>
        <w:t>и від 05 серпня 2020 року № 695</w:t>
      </w:r>
    </w:p>
    <w:p w:rsidR="00C0152F" w:rsidRPr="00302E41" w:rsidRDefault="00C0152F" w:rsidP="00302E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2E41">
        <w:rPr>
          <w:rFonts w:ascii="Times New Roman" w:hAnsi="Times New Roman" w:cs="Times New Roman"/>
          <w:sz w:val="28"/>
          <w:szCs w:val="28"/>
          <w:lang w:val="uk-UA"/>
        </w:rPr>
        <w:t xml:space="preserve">«Про затвердження Державної стратегії регіонального розвитку на </w:t>
      </w:r>
      <w:r w:rsidR="008822E2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302E41">
        <w:rPr>
          <w:rFonts w:ascii="Times New Roman" w:hAnsi="Times New Roman" w:cs="Times New Roman"/>
          <w:sz w:val="28"/>
          <w:szCs w:val="28"/>
          <w:lang w:val="uk-UA"/>
        </w:rPr>
        <w:t xml:space="preserve">2021−2027 роки»; </w:t>
      </w:r>
    </w:p>
    <w:p w:rsidR="000B3045" w:rsidRDefault="00C0152F" w:rsidP="000B3045">
      <w:pPr>
        <w:pStyle w:val="ab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045">
        <w:rPr>
          <w:rFonts w:ascii="Times New Roman" w:hAnsi="Times New Roman" w:cs="Times New Roman"/>
          <w:sz w:val="28"/>
          <w:szCs w:val="28"/>
          <w:lang w:val="uk-UA"/>
        </w:rPr>
        <w:t xml:space="preserve">постанови </w:t>
      </w:r>
      <w:r w:rsidR="003668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B3045">
        <w:rPr>
          <w:rFonts w:ascii="Times New Roman" w:hAnsi="Times New Roman" w:cs="Times New Roman"/>
          <w:sz w:val="28"/>
          <w:szCs w:val="28"/>
          <w:lang w:val="uk-UA"/>
        </w:rPr>
        <w:t>Кабінету Міністрів Україн</w:t>
      </w:r>
      <w:r w:rsidR="000B3045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="003668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3045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3668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3045">
        <w:rPr>
          <w:rFonts w:ascii="Times New Roman" w:hAnsi="Times New Roman" w:cs="Times New Roman"/>
          <w:sz w:val="28"/>
          <w:szCs w:val="28"/>
          <w:lang w:val="uk-UA"/>
        </w:rPr>
        <w:t>16 лютого 2011 року № 106</w:t>
      </w:r>
    </w:p>
    <w:p w:rsidR="00C0152F" w:rsidRPr="000B3045" w:rsidRDefault="00C0152F" w:rsidP="000B30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045">
        <w:rPr>
          <w:rFonts w:ascii="Times New Roman" w:hAnsi="Times New Roman" w:cs="Times New Roman"/>
          <w:sz w:val="28"/>
          <w:szCs w:val="28"/>
          <w:lang w:val="uk-UA"/>
        </w:rPr>
        <w:t xml:space="preserve">«Деякі питання ведення обліку податків, зборів, платежів та інших доходів бюджету»; </w:t>
      </w:r>
    </w:p>
    <w:p w:rsidR="000B3045" w:rsidRDefault="00C0152F" w:rsidP="000B3045">
      <w:pPr>
        <w:pStyle w:val="ab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045">
        <w:rPr>
          <w:rFonts w:ascii="Times New Roman" w:hAnsi="Times New Roman" w:cs="Times New Roman"/>
          <w:sz w:val="28"/>
          <w:szCs w:val="28"/>
          <w:lang w:val="uk-UA"/>
        </w:rPr>
        <w:t>постанови Кабінету Міністрів Україн</w:t>
      </w:r>
      <w:r w:rsidR="000B3045">
        <w:rPr>
          <w:rFonts w:ascii="Times New Roman" w:hAnsi="Times New Roman" w:cs="Times New Roman"/>
          <w:sz w:val="28"/>
          <w:szCs w:val="28"/>
          <w:lang w:val="uk-UA"/>
        </w:rPr>
        <w:t>и від 28 лютого 2025 року № 294</w:t>
      </w:r>
    </w:p>
    <w:p w:rsidR="00C0152F" w:rsidRPr="000B3045" w:rsidRDefault="00C0152F" w:rsidP="000B30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04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«Про затвердження Порядку розроблення та моніторингу реалізації середньострокового плану пріоритетних публічних інвестицій держави»; </w:t>
      </w:r>
    </w:p>
    <w:p w:rsidR="00366822" w:rsidRDefault="00C0152F" w:rsidP="00366822">
      <w:pPr>
        <w:pStyle w:val="ab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045">
        <w:rPr>
          <w:rFonts w:ascii="Times New Roman" w:hAnsi="Times New Roman" w:cs="Times New Roman"/>
          <w:sz w:val="28"/>
          <w:szCs w:val="28"/>
          <w:lang w:val="uk-UA"/>
        </w:rPr>
        <w:t>розпорядження Кабінету Міністрів Ук</w:t>
      </w:r>
      <w:r w:rsidR="000B3045">
        <w:rPr>
          <w:rFonts w:ascii="Times New Roman" w:hAnsi="Times New Roman" w:cs="Times New Roman"/>
          <w:sz w:val="28"/>
          <w:szCs w:val="28"/>
          <w:lang w:val="uk-UA"/>
        </w:rPr>
        <w:t>раїни від 27 грудня 2023 року</w:t>
      </w:r>
    </w:p>
    <w:p w:rsidR="00C0152F" w:rsidRPr="000B3045" w:rsidRDefault="000B3045" w:rsidP="000B30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6822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3668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152F" w:rsidRPr="000B3045">
        <w:rPr>
          <w:rFonts w:ascii="Times New Roman" w:hAnsi="Times New Roman" w:cs="Times New Roman"/>
          <w:sz w:val="28"/>
          <w:szCs w:val="28"/>
          <w:lang w:val="uk-UA"/>
        </w:rPr>
        <w:t xml:space="preserve">1218-р «Про схвалення Національної стратегії доходів до 2030 року»; </w:t>
      </w:r>
    </w:p>
    <w:p w:rsidR="00366822" w:rsidRDefault="00C0152F" w:rsidP="000B3045">
      <w:pPr>
        <w:pStyle w:val="ab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045">
        <w:rPr>
          <w:rFonts w:ascii="Times New Roman" w:hAnsi="Times New Roman" w:cs="Times New Roman"/>
          <w:sz w:val="28"/>
          <w:szCs w:val="28"/>
          <w:lang w:val="uk-UA"/>
        </w:rPr>
        <w:t>розпорядження Кабінету Міністрів України від 12 серпня 2</w:t>
      </w:r>
      <w:r w:rsidR="000B3045">
        <w:rPr>
          <w:rFonts w:ascii="Times New Roman" w:hAnsi="Times New Roman" w:cs="Times New Roman"/>
          <w:sz w:val="28"/>
          <w:szCs w:val="28"/>
          <w:lang w:val="uk-UA"/>
        </w:rPr>
        <w:t>022 року</w:t>
      </w:r>
    </w:p>
    <w:p w:rsidR="00C0152F" w:rsidRPr="000B3045" w:rsidRDefault="000B3045" w:rsidP="000B30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6822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3668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152F" w:rsidRPr="000B3045">
        <w:rPr>
          <w:rFonts w:ascii="Times New Roman" w:hAnsi="Times New Roman" w:cs="Times New Roman"/>
          <w:sz w:val="28"/>
          <w:szCs w:val="28"/>
          <w:lang w:val="uk-UA"/>
        </w:rPr>
        <w:t xml:space="preserve">752-р «Про схвалення Державної стратегії забезпечення рівних прав та можливостей жінок і чоловіків на період до 2030 року та затвердження операційного плану з її реалізації на 2022−2024 роки»; </w:t>
      </w:r>
    </w:p>
    <w:p w:rsidR="00366822" w:rsidRDefault="00C0152F" w:rsidP="000B3045">
      <w:pPr>
        <w:pStyle w:val="ab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045">
        <w:rPr>
          <w:rFonts w:ascii="Times New Roman" w:hAnsi="Times New Roman" w:cs="Times New Roman"/>
          <w:sz w:val="28"/>
          <w:szCs w:val="28"/>
          <w:lang w:val="uk-UA"/>
        </w:rPr>
        <w:t>розпорядження Кабінету Міністрів України від 26 бер</w:t>
      </w:r>
      <w:r w:rsidR="000B3045">
        <w:rPr>
          <w:rFonts w:ascii="Times New Roman" w:hAnsi="Times New Roman" w:cs="Times New Roman"/>
          <w:sz w:val="28"/>
          <w:szCs w:val="28"/>
          <w:lang w:val="uk-UA"/>
        </w:rPr>
        <w:t>езня 2024 року</w:t>
      </w:r>
    </w:p>
    <w:p w:rsidR="00C0152F" w:rsidRPr="000B3045" w:rsidRDefault="000B3045" w:rsidP="000B30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6822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3668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152F" w:rsidRPr="000B3045">
        <w:rPr>
          <w:rFonts w:ascii="Times New Roman" w:hAnsi="Times New Roman" w:cs="Times New Roman"/>
          <w:sz w:val="28"/>
          <w:szCs w:val="28"/>
          <w:lang w:val="uk-UA"/>
        </w:rPr>
        <w:t xml:space="preserve">270-р «Про затвердження плану заходів з реформування місцевого самоврядування та територіальної організації влади в Україні на </w:t>
      </w:r>
      <w:r w:rsidR="00366822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C0152F" w:rsidRPr="000B3045">
        <w:rPr>
          <w:rFonts w:ascii="Times New Roman" w:hAnsi="Times New Roman" w:cs="Times New Roman"/>
          <w:sz w:val="28"/>
          <w:szCs w:val="28"/>
          <w:lang w:val="uk-UA"/>
        </w:rPr>
        <w:t xml:space="preserve">2024−2027 роки»; </w:t>
      </w:r>
    </w:p>
    <w:p w:rsidR="000B3045" w:rsidRDefault="00C0152F" w:rsidP="000B3045">
      <w:pPr>
        <w:pStyle w:val="ab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045">
        <w:rPr>
          <w:rFonts w:ascii="Times New Roman" w:hAnsi="Times New Roman" w:cs="Times New Roman"/>
          <w:sz w:val="28"/>
          <w:szCs w:val="28"/>
          <w:lang w:val="uk-UA"/>
        </w:rPr>
        <w:t xml:space="preserve">основних </w:t>
      </w:r>
      <w:r w:rsidR="001E6622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0B3045">
        <w:rPr>
          <w:rFonts w:ascii="Times New Roman" w:hAnsi="Times New Roman" w:cs="Times New Roman"/>
          <w:sz w:val="28"/>
          <w:szCs w:val="28"/>
          <w:lang w:val="uk-UA"/>
        </w:rPr>
        <w:t>прогнозних</w:t>
      </w:r>
      <w:r w:rsidR="001E662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0B3045">
        <w:rPr>
          <w:rFonts w:ascii="Times New Roman" w:hAnsi="Times New Roman" w:cs="Times New Roman"/>
          <w:sz w:val="28"/>
          <w:szCs w:val="28"/>
          <w:lang w:val="uk-UA"/>
        </w:rPr>
        <w:t>макропоказн</w:t>
      </w:r>
      <w:r w:rsidR="000B3045">
        <w:rPr>
          <w:rFonts w:ascii="Times New Roman" w:hAnsi="Times New Roman" w:cs="Times New Roman"/>
          <w:sz w:val="28"/>
          <w:szCs w:val="28"/>
          <w:lang w:val="uk-UA"/>
        </w:rPr>
        <w:t xml:space="preserve">иків </w:t>
      </w:r>
      <w:r w:rsidR="001E6622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0B3045">
        <w:rPr>
          <w:rFonts w:ascii="Times New Roman" w:hAnsi="Times New Roman" w:cs="Times New Roman"/>
          <w:sz w:val="28"/>
          <w:szCs w:val="28"/>
          <w:lang w:val="uk-UA"/>
        </w:rPr>
        <w:t xml:space="preserve">економічного </w:t>
      </w:r>
      <w:r w:rsidR="001E66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3045">
        <w:rPr>
          <w:rFonts w:ascii="Times New Roman" w:hAnsi="Times New Roman" w:cs="Times New Roman"/>
          <w:sz w:val="28"/>
          <w:szCs w:val="28"/>
          <w:lang w:val="uk-UA"/>
        </w:rPr>
        <w:t>і соціального</w:t>
      </w:r>
    </w:p>
    <w:p w:rsidR="00B7701D" w:rsidRPr="000B3045" w:rsidRDefault="00C0152F" w:rsidP="000B30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045">
        <w:rPr>
          <w:rFonts w:ascii="Times New Roman" w:hAnsi="Times New Roman" w:cs="Times New Roman"/>
          <w:sz w:val="28"/>
          <w:szCs w:val="28"/>
          <w:lang w:val="uk-UA"/>
        </w:rPr>
        <w:t xml:space="preserve">розвитку України; </w:t>
      </w:r>
    </w:p>
    <w:p w:rsidR="000B3045" w:rsidRDefault="00C0152F" w:rsidP="000B3045">
      <w:pPr>
        <w:pStyle w:val="ab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045">
        <w:rPr>
          <w:rFonts w:ascii="Times New Roman" w:hAnsi="Times New Roman" w:cs="Times New Roman"/>
          <w:sz w:val="28"/>
          <w:szCs w:val="28"/>
          <w:lang w:val="uk-UA"/>
        </w:rPr>
        <w:t>програм соціально-економічного та к</w:t>
      </w:r>
      <w:r w:rsidR="000B3045">
        <w:rPr>
          <w:rFonts w:ascii="Times New Roman" w:hAnsi="Times New Roman" w:cs="Times New Roman"/>
          <w:sz w:val="28"/>
          <w:szCs w:val="28"/>
          <w:lang w:val="uk-UA"/>
        </w:rPr>
        <w:t>ультурного розвитку відповідних</w:t>
      </w:r>
    </w:p>
    <w:p w:rsidR="00B7701D" w:rsidRPr="000B3045" w:rsidRDefault="00C0152F" w:rsidP="000B30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045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адміністративно-територіальних одиниць, цільових програм з інших питань місцевого самоврядування; </w:t>
      </w:r>
    </w:p>
    <w:p w:rsidR="000B3045" w:rsidRDefault="00C0152F" w:rsidP="000B3045">
      <w:pPr>
        <w:pStyle w:val="ab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045">
        <w:rPr>
          <w:rFonts w:ascii="Times New Roman" w:hAnsi="Times New Roman" w:cs="Times New Roman"/>
          <w:sz w:val="28"/>
          <w:szCs w:val="28"/>
          <w:lang w:val="uk-UA"/>
        </w:rPr>
        <w:t>середньострокових планів пр</w:t>
      </w:r>
      <w:r w:rsidR="000B3045">
        <w:rPr>
          <w:rFonts w:ascii="Times New Roman" w:hAnsi="Times New Roman" w:cs="Times New Roman"/>
          <w:sz w:val="28"/>
          <w:szCs w:val="28"/>
          <w:lang w:val="uk-UA"/>
        </w:rPr>
        <w:t>іоритетних публічних інвестицій</w:t>
      </w:r>
    </w:p>
    <w:p w:rsidR="00B7701D" w:rsidRPr="000B3045" w:rsidRDefault="00C0152F" w:rsidP="000B30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045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територіальних громад; </w:t>
      </w:r>
    </w:p>
    <w:p w:rsidR="000B3045" w:rsidRDefault="00C0152F" w:rsidP="00F9463D">
      <w:pPr>
        <w:pStyle w:val="ab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045">
        <w:rPr>
          <w:rFonts w:ascii="Times New Roman" w:hAnsi="Times New Roman" w:cs="Times New Roman"/>
          <w:sz w:val="28"/>
          <w:szCs w:val="28"/>
          <w:lang w:val="uk-UA"/>
        </w:rPr>
        <w:t>наказу Міністерства фінансів Україн</w:t>
      </w:r>
      <w:r w:rsidR="000B3045">
        <w:rPr>
          <w:rFonts w:ascii="Times New Roman" w:hAnsi="Times New Roman" w:cs="Times New Roman"/>
          <w:sz w:val="28"/>
          <w:szCs w:val="28"/>
          <w:lang w:val="uk-UA"/>
        </w:rPr>
        <w:t>и від 26 серпня 2014 року № 836</w:t>
      </w:r>
    </w:p>
    <w:p w:rsidR="00B7701D" w:rsidRPr="000B3045" w:rsidRDefault="00C0152F" w:rsidP="00F946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045">
        <w:rPr>
          <w:rFonts w:ascii="Times New Roman" w:hAnsi="Times New Roman" w:cs="Times New Roman"/>
          <w:sz w:val="28"/>
          <w:szCs w:val="28"/>
          <w:lang w:val="uk-UA"/>
        </w:rPr>
        <w:t xml:space="preserve">«Про деякі питання запровадження програмно-цільового методу складання та виконання місцевих бюджетів», зареєстрованого в Міністерстві юстиції України 10 вересня 2014 року за № 1104/25881; </w:t>
      </w:r>
    </w:p>
    <w:p w:rsidR="000B3045" w:rsidRDefault="00C0152F" w:rsidP="000B3045">
      <w:pPr>
        <w:pStyle w:val="ab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045">
        <w:rPr>
          <w:rFonts w:ascii="Times New Roman" w:hAnsi="Times New Roman" w:cs="Times New Roman"/>
          <w:sz w:val="28"/>
          <w:szCs w:val="28"/>
          <w:lang w:val="uk-UA"/>
        </w:rPr>
        <w:t>наказу Міністерства фінансів Україн</w:t>
      </w:r>
      <w:r w:rsidR="000B3045">
        <w:rPr>
          <w:rFonts w:ascii="Times New Roman" w:hAnsi="Times New Roman" w:cs="Times New Roman"/>
          <w:sz w:val="28"/>
          <w:szCs w:val="28"/>
          <w:lang w:val="uk-UA"/>
        </w:rPr>
        <w:t>и від 02 червня 2021 року № 314</w:t>
      </w:r>
    </w:p>
    <w:p w:rsidR="00B7701D" w:rsidRPr="000B3045" w:rsidRDefault="00C0152F" w:rsidP="000B30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045">
        <w:rPr>
          <w:rFonts w:ascii="Times New Roman" w:hAnsi="Times New Roman" w:cs="Times New Roman"/>
          <w:sz w:val="28"/>
          <w:szCs w:val="28"/>
          <w:lang w:val="uk-UA"/>
        </w:rPr>
        <w:t xml:space="preserve">«Про затвердження Типової форми прогнозу місцевого бюджету та Інструкції щодо його складання» (далі – Інструкція щодо складання прогнозу місцевого бюджету), зареєстрованого в Міністерстві юстиції України 05 липня 2021 року за № 879/36501; </w:t>
      </w:r>
    </w:p>
    <w:p w:rsidR="000B3045" w:rsidRDefault="00C0152F" w:rsidP="000B3045">
      <w:pPr>
        <w:pStyle w:val="ab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045">
        <w:rPr>
          <w:rFonts w:ascii="Times New Roman" w:hAnsi="Times New Roman" w:cs="Times New Roman"/>
          <w:sz w:val="28"/>
          <w:szCs w:val="28"/>
          <w:lang w:val="uk-UA"/>
        </w:rPr>
        <w:t>наказу Міністерства фінансів Україн</w:t>
      </w:r>
      <w:r w:rsidR="000B3045">
        <w:rPr>
          <w:rFonts w:ascii="Times New Roman" w:hAnsi="Times New Roman" w:cs="Times New Roman"/>
          <w:sz w:val="28"/>
          <w:szCs w:val="28"/>
          <w:lang w:val="uk-UA"/>
        </w:rPr>
        <w:t>и від 06 жовтня 2023 року № 534</w:t>
      </w:r>
    </w:p>
    <w:p w:rsidR="00B7701D" w:rsidRPr="000B3045" w:rsidRDefault="00C0152F" w:rsidP="000B30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045">
        <w:rPr>
          <w:rFonts w:ascii="Times New Roman" w:hAnsi="Times New Roman" w:cs="Times New Roman"/>
          <w:sz w:val="28"/>
          <w:szCs w:val="28"/>
          <w:lang w:val="uk-UA"/>
        </w:rPr>
        <w:lastRenderedPageBreak/>
        <w:t>«Про затвердження Інструкції щодо підготовки бюджетної пропозиції» (далі – Інструкція щодо підготовки бюджетної пропозиції), зареєстрованого в Міністерстві юстиції України 20 жовтня 2023 року за № 1842/40898;</w:t>
      </w:r>
    </w:p>
    <w:p w:rsidR="000B3045" w:rsidRDefault="00C0152F" w:rsidP="000B3045">
      <w:pPr>
        <w:pStyle w:val="ab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045">
        <w:rPr>
          <w:rFonts w:ascii="Times New Roman" w:hAnsi="Times New Roman" w:cs="Times New Roman"/>
          <w:sz w:val="28"/>
          <w:szCs w:val="28"/>
          <w:lang w:val="uk-UA"/>
        </w:rPr>
        <w:t>наказу Міністерства фінансів Україн</w:t>
      </w:r>
      <w:r w:rsidR="000B3045">
        <w:rPr>
          <w:rFonts w:ascii="Times New Roman" w:hAnsi="Times New Roman" w:cs="Times New Roman"/>
          <w:sz w:val="28"/>
          <w:szCs w:val="28"/>
          <w:lang w:val="uk-UA"/>
        </w:rPr>
        <w:t>и від 16 травня 2024 року № 239</w:t>
      </w:r>
    </w:p>
    <w:p w:rsidR="00B7701D" w:rsidRPr="000B3045" w:rsidRDefault="00C0152F" w:rsidP="000B30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045">
        <w:rPr>
          <w:rFonts w:ascii="Times New Roman" w:hAnsi="Times New Roman" w:cs="Times New Roman"/>
          <w:sz w:val="28"/>
          <w:szCs w:val="28"/>
          <w:lang w:val="uk-UA"/>
        </w:rPr>
        <w:t xml:space="preserve">«Про затвердження Методичних рекомендацій щодо організації здійснення місцевих запозичень, надання місцевих гарантій, управління місцевим боргом та гарантованим Автономною Республікою Крим, обласною радою, міською, селищною чи сільською територіальною громадою боргом»; </w:t>
      </w:r>
    </w:p>
    <w:p w:rsidR="000B3045" w:rsidRDefault="00C0152F" w:rsidP="000B3045">
      <w:pPr>
        <w:pStyle w:val="ab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045">
        <w:rPr>
          <w:rFonts w:ascii="Times New Roman" w:hAnsi="Times New Roman" w:cs="Times New Roman"/>
          <w:sz w:val="28"/>
          <w:szCs w:val="28"/>
          <w:lang w:val="uk-UA"/>
        </w:rPr>
        <w:t>наказу Міністерства фінансів Україн</w:t>
      </w:r>
      <w:r w:rsidR="000B3045">
        <w:rPr>
          <w:rFonts w:ascii="Times New Roman" w:hAnsi="Times New Roman" w:cs="Times New Roman"/>
          <w:sz w:val="28"/>
          <w:szCs w:val="28"/>
          <w:lang w:val="uk-UA"/>
        </w:rPr>
        <w:t>и від 30 серпня 2021 року № 488</w:t>
      </w:r>
    </w:p>
    <w:p w:rsidR="00B7701D" w:rsidRPr="000B3045" w:rsidRDefault="00C0152F" w:rsidP="004C18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045">
        <w:rPr>
          <w:rFonts w:ascii="Times New Roman" w:hAnsi="Times New Roman" w:cs="Times New Roman"/>
          <w:sz w:val="28"/>
          <w:szCs w:val="28"/>
          <w:lang w:val="uk-UA"/>
        </w:rPr>
        <w:t xml:space="preserve">«Про затвердження Порядку обміну електронними документами між Міністерством фінансів України та учасниками бюджетного процесу на місцевому рівні», зареєстрованого в Міністерстві юстиції України 25 жовтня 2021 року за № 1372/36994; </w:t>
      </w:r>
    </w:p>
    <w:p w:rsidR="000B3045" w:rsidRDefault="00C0152F" w:rsidP="004C18C1">
      <w:pPr>
        <w:pStyle w:val="ab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045">
        <w:rPr>
          <w:rFonts w:ascii="Times New Roman" w:hAnsi="Times New Roman" w:cs="Times New Roman"/>
          <w:sz w:val="28"/>
          <w:szCs w:val="28"/>
          <w:lang w:val="uk-UA"/>
        </w:rPr>
        <w:t>наказу Міністерства фінансів України від 02 січня 2019 року № 1 «Пр</w:t>
      </w:r>
      <w:r w:rsidR="000B3045">
        <w:rPr>
          <w:rFonts w:ascii="Times New Roman" w:hAnsi="Times New Roman" w:cs="Times New Roman"/>
          <w:sz w:val="28"/>
          <w:szCs w:val="28"/>
          <w:lang w:val="uk-UA"/>
        </w:rPr>
        <w:t>о</w:t>
      </w:r>
    </w:p>
    <w:p w:rsidR="00B7701D" w:rsidRPr="000B3045" w:rsidRDefault="00C0152F" w:rsidP="004C18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045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Методичних рекомендацій щодо впровадження та застосування гендерно орієнтованого підходу в бюджетному процесі»; </w:t>
      </w:r>
    </w:p>
    <w:p w:rsidR="000B3045" w:rsidRDefault="00C0152F" w:rsidP="004C18C1">
      <w:pPr>
        <w:pStyle w:val="ab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045">
        <w:rPr>
          <w:rFonts w:ascii="Times New Roman" w:hAnsi="Times New Roman" w:cs="Times New Roman"/>
          <w:sz w:val="28"/>
          <w:szCs w:val="28"/>
          <w:lang w:val="uk-UA"/>
        </w:rPr>
        <w:t>наказу Міністерства фінансів Україн</w:t>
      </w:r>
      <w:r w:rsidR="000B3045">
        <w:rPr>
          <w:rFonts w:ascii="Times New Roman" w:hAnsi="Times New Roman" w:cs="Times New Roman"/>
          <w:sz w:val="28"/>
          <w:szCs w:val="28"/>
          <w:lang w:val="uk-UA"/>
        </w:rPr>
        <w:t>и від 28 лютого 2025 року № 131</w:t>
      </w:r>
    </w:p>
    <w:p w:rsidR="00B7701D" w:rsidRPr="000B3045" w:rsidRDefault="00C0152F" w:rsidP="004C18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045">
        <w:rPr>
          <w:rFonts w:ascii="Times New Roman" w:hAnsi="Times New Roman" w:cs="Times New Roman"/>
          <w:sz w:val="28"/>
          <w:szCs w:val="28"/>
          <w:lang w:val="uk-UA"/>
        </w:rPr>
        <w:t xml:space="preserve">«Про затвердження Методики визначення джерел і механізмів фінансового забезпечення публічних інвестиційних проектів та програм публічних інвестицій», зареєстрованого в Міністерстві юстиції України 09 квітня 2025 року за № 541/43947; </w:t>
      </w:r>
    </w:p>
    <w:p w:rsidR="000B3045" w:rsidRDefault="00C0152F" w:rsidP="004C18C1">
      <w:pPr>
        <w:pStyle w:val="ab"/>
        <w:numPr>
          <w:ilvl w:val="0"/>
          <w:numId w:val="2"/>
        </w:numPr>
        <w:spacing w:after="0" w:line="360" w:lineRule="auto"/>
        <w:ind w:left="811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045">
        <w:rPr>
          <w:rFonts w:ascii="Times New Roman" w:hAnsi="Times New Roman" w:cs="Times New Roman"/>
          <w:sz w:val="28"/>
          <w:szCs w:val="28"/>
          <w:lang w:val="uk-UA"/>
        </w:rPr>
        <w:t>наказу Міністерства фінансів Україн</w:t>
      </w:r>
      <w:r w:rsidR="000B3045">
        <w:rPr>
          <w:rFonts w:ascii="Times New Roman" w:hAnsi="Times New Roman" w:cs="Times New Roman"/>
          <w:sz w:val="28"/>
          <w:szCs w:val="28"/>
          <w:lang w:val="uk-UA"/>
        </w:rPr>
        <w:t>и від 15 квітня 2025 року № 202</w:t>
      </w:r>
    </w:p>
    <w:p w:rsidR="00B7701D" w:rsidRPr="000B3045" w:rsidRDefault="00C0152F" w:rsidP="004C18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045">
        <w:rPr>
          <w:rFonts w:ascii="Times New Roman" w:hAnsi="Times New Roman" w:cs="Times New Roman"/>
          <w:sz w:val="28"/>
          <w:szCs w:val="28"/>
          <w:lang w:val="uk-UA"/>
        </w:rPr>
        <w:t xml:space="preserve">«Про затвердження примірного Положення про місцеву комісію з питань розподілу публічних інвестицій»; </w:t>
      </w:r>
    </w:p>
    <w:p w:rsidR="000B3045" w:rsidRDefault="00C0152F" w:rsidP="004C18C1">
      <w:pPr>
        <w:pStyle w:val="ab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045">
        <w:rPr>
          <w:rFonts w:ascii="Times New Roman" w:hAnsi="Times New Roman" w:cs="Times New Roman"/>
          <w:sz w:val="28"/>
          <w:szCs w:val="28"/>
          <w:lang w:val="uk-UA"/>
        </w:rPr>
        <w:t xml:space="preserve">особливостей складання розрахунків </w:t>
      </w:r>
      <w:r w:rsidR="000B3045">
        <w:rPr>
          <w:rFonts w:ascii="Times New Roman" w:hAnsi="Times New Roman" w:cs="Times New Roman"/>
          <w:sz w:val="28"/>
          <w:szCs w:val="28"/>
          <w:lang w:val="uk-UA"/>
        </w:rPr>
        <w:t>до прогнозів місцевих бюджетів,</w:t>
      </w:r>
    </w:p>
    <w:p w:rsidR="00B7701D" w:rsidRPr="000B3045" w:rsidRDefault="00C0152F" w:rsidP="004C18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045">
        <w:rPr>
          <w:rFonts w:ascii="Times New Roman" w:hAnsi="Times New Roman" w:cs="Times New Roman"/>
          <w:sz w:val="28"/>
          <w:szCs w:val="28"/>
          <w:lang w:val="uk-UA"/>
        </w:rPr>
        <w:t xml:space="preserve">доведених Міністерством фінансів України; </w:t>
      </w:r>
    </w:p>
    <w:p w:rsidR="00BD26AC" w:rsidRDefault="000B3045" w:rsidP="004C18C1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7B66C0" w:rsidRPr="007B66C0">
        <w:rPr>
          <w:rFonts w:ascii="Times New Roman" w:hAnsi="Times New Roman" w:cs="Times New Roman"/>
          <w:sz w:val="28"/>
          <w:szCs w:val="28"/>
          <w:lang w:val="uk-UA"/>
        </w:rPr>
        <w:t xml:space="preserve"> Стратегії розвитку </w:t>
      </w:r>
      <w:r w:rsidR="0009450E">
        <w:rPr>
          <w:rFonts w:ascii="Times New Roman" w:hAnsi="Times New Roman" w:cs="Times New Roman"/>
          <w:sz w:val="28"/>
          <w:szCs w:val="28"/>
          <w:lang w:val="uk-UA"/>
        </w:rPr>
        <w:t>Лубенської територіальної громади на 2024-2027 роки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B66C0" w:rsidRPr="007B66C0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затвердженої рішенням </w:t>
      </w:r>
      <w:r w:rsidR="0009450E">
        <w:rPr>
          <w:rFonts w:ascii="Times New Roman" w:hAnsi="Times New Roman" w:cs="Times New Roman"/>
          <w:sz w:val="28"/>
          <w:szCs w:val="28"/>
          <w:lang w:val="uk-UA"/>
        </w:rPr>
        <w:t>позачергової тридцять п’ятої сесії</w:t>
      </w:r>
      <w:r w:rsidR="007B66C0" w:rsidRPr="007B66C0">
        <w:rPr>
          <w:rFonts w:ascii="Times New Roman" w:hAnsi="Times New Roman" w:cs="Times New Roman"/>
          <w:sz w:val="28"/>
          <w:szCs w:val="28"/>
          <w:lang w:val="uk-UA"/>
        </w:rPr>
        <w:t xml:space="preserve"> Лубенської міської ради </w:t>
      </w:r>
      <w:r w:rsidR="0009450E">
        <w:rPr>
          <w:rFonts w:ascii="Times New Roman" w:hAnsi="Times New Roman" w:cs="Times New Roman"/>
          <w:sz w:val="28"/>
          <w:szCs w:val="28"/>
          <w:lang w:val="uk-UA"/>
        </w:rPr>
        <w:t>восьмого</w:t>
      </w:r>
      <w:r w:rsidR="007B66C0" w:rsidRPr="007B66C0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від </w:t>
      </w:r>
      <w:r w:rsidR="0009450E">
        <w:rPr>
          <w:rFonts w:ascii="Times New Roman" w:hAnsi="Times New Roman" w:cs="Times New Roman"/>
          <w:sz w:val="28"/>
          <w:szCs w:val="28"/>
          <w:lang w:val="uk-UA"/>
        </w:rPr>
        <w:t xml:space="preserve">16.11.2023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0518A1">
        <w:rPr>
          <w:rFonts w:ascii="Times New Roman" w:hAnsi="Times New Roman" w:cs="Times New Roman"/>
          <w:sz w:val="28"/>
          <w:szCs w:val="28"/>
          <w:lang w:val="uk-UA"/>
        </w:rPr>
        <w:t>та місцевих галузевих програм,</w:t>
      </w:r>
      <w:r w:rsidR="007B66C0" w:rsidRPr="007B66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26AC" w:rsidRPr="007B6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як</w:t>
      </w:r>
      <w:r w:rsidR="000518A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ими </w:t>
      </w:r>
      <w:r w:rsidR="00BD26AC" w:rsidRPr="007B6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визначено напрями розвитку громади, що сприятимуть</w:t>
      </w:r>
      <w:r w:rsidR="00BD26A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покращенню </w:t>
      </w:r>
      <w:r w:rsidR="00BD26A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добробуту населення, підвищення комфорту та якості життя, освіченості мешканців, розвитку економіки Лубенської громади, підвищенню її конкурентноспроможності та створенню нових робочих місць, а також створення позитивного іміджу регіону та максимально ефективного використа</w:t>
      </w:r>
      <w:r w:rsidR="00B7701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ння його ресурсів і можливостей;</w:t>
      </w:r>
    </w:p>
    <w:p w:rsidR="00B7701D" w:rsidRDefault="009D6EA6" w:rsidP="00B7701D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B7701D" w:rsidRPr="00B7701D">
        <w:rPr>
          <w:rFonts w:ascii="Times New Roman" w:hAnsi="Times New Roman" w:cs="Times New Roman"/>
          <w:sz w:val="28"/>
          <w:szCs w:val="28"/>
          <w:lang w:val="uk-UA"/>
        </w:rPr>
        <w:t xml:space="preserve">прогнозу місцевого бюджету, схваленого в попередньому бюджетному періоді; </w:t>
      </w:r>
    </w:p>
    <w:p w:rsidR="00B7701D" w:rsidRDefault="009D6EA6" w:rsidP="00B7701D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B7701D" w:rsidRPr="00B7701D">
        <w:rPr>
          <w:rFonts w:ascii="Times New Roman" w:hAnsi="Times New Roman" w:cs="Times New Roman"/>
          <w:sz w:val="28"/>
          <w:szCs w:val="28"/>
          <w:lang w:val="uk-UA"/>
        </w:rPr>
        <w:t>інших нормативно-правових актів, зокрема тих, які регулюють бюджетні відносини в умовах воєнного стану</w:t>
      </w:r>
      <w:r w:rsidR="00831E3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31E37" w:rsidRPr="00570982" w:rsidRDefault="00831E37" w:rsidP="00831E37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1E37">
        <w:rPr>
          <w:rFonts w:ascii="Times New Roman" w:hAnsi="Times New Roman" w:cs="Times New Roman"/>
          <w:sz w:val="28"/>
          <w:szCs w:val="28"/>
        </w:rPr>
        <w:t>Державна</w:t>
      </w:r>
      <w:r w:rsidRPr="00831E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1E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1E37">
        <w:rPr>
          <w:rFonts w:ascii="Times New Roman" w:hAnsi="Times New Roman" w:cs="Times New Roman"/>
          <w:sz w:val="28"/>
          <w:szCs w:val="28"/>
        </w:rPr>
        <w:t xml:space="preserve">бюджетна </w:t>
      </w:r>
      <w:r w:rsidRPr="00831E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1E37">
        <w:rPr>
          <w:rFonts w:ascii="Times New Roman" w:hAnsi="Times New Roman" w:cs="Times New Roman"/>
          <w:sz w:val="28"/>
          <w:szCs w:val="28"/>
        </w:rPr>
        <w:t>політика</w:t>
      </w:r>
      <w:r w:rsidRPr="00831E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1E37">
        <w:rPr>
          <w:rFonts w:ascii="Times New Roman" w:hAnsi="Times New Roman" w:cs="Times New Roman"/>
          <w:sz w:val="28"/>
          <w:szCs w:val="28"/>
        </w:rPr>
        <w:t xml:space="preserve"> у </w:t>
      </w:r>
      <w:r w:rsidRPr="00831E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1E37">
        <w:rPr>
          <w:rFonts w:ascii="Times New Roman" w:hAnsi="Times New Roman" w:cs="Times New Roman"/>
          <w:sz w:val="28"/>
          <w:szCs w:val="28"/>
        </w:rPr>
        <w:t xml:space="preserve">сфері </w:t>
      </w:r>
      <w:r w:rsidRPr="00831E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1E37">
        <w:rPr>
          <w:rFonts w:ascii="Times New Roman" w:hAnsi="Times New Roman" w:cs="Times New Roman"/>
          <w:sz w:val="28"/>
          <w:szCs w:val="28"/>
        </w:rPr>
        <w:t xml:space="preserve">місцевих </w:t>
      </w:r>
      <w:r w:rsidRPr="00831E3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831E37">
        <w:rPr>
          <w:rFonts w:ascii="Times New Roman" w:hAnsi="Times New Roman" w:cs="Times New Roman"/>
          <w:sz w:val="28"/>
          <w:szCs w:val="28"/>
        </w:rPr>
        <w:t xml:space="preserve">бюджетів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70982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70982">
        <w:rPr>
          <w:rFonts w:ascii="Times New Roman" w:hAnsi="Times New Roman" w:cs="Times New Roman"/>
          <w:sz w:val="28"/>
          <w:szCs w:val="28"/>
          <w:lang w:val="uk-UA"/>
        </w:rPr>
        <w:t xml:space="preserve">міжбюджетних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70982">
        <w:rPr>
          <w:rFonts w:ascii="Times New Roman" w:hAnsi="Times New Roman" w:cs="Times New Roman"/>
          <w:sz w:val="28"/>
          <w:szCs w:val="28"/>
          <w:lang w:val="uk-UA"/>
        </w:rPr>
        <w:t xml:space="preserve">відносин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7098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70982">
        <w:rPr>
          <w:rFonts w:ascii="Times New Roman" w:hAnsi="Times New Roman" w:cs="Times New Roman"/>
          <w:sz w:val="28"/>
          <w:szCs w:val="28"/>
          <w:lang w:val="uk-UA"/>
        </w:rPr>
        <w:t xml:space="preserve">2026–2028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70982">
        <w:rPr>
          <w:rFonts w:ascii="Times New Roman" w:hAnsi="Times New Roman" w:cs="Times New Roman"/>
          <w:sz w:val="28"/>
          <w:szCs w:val="28"/>
          <w:lang w:val="uk-UA"/>
        </w:rPr>
        <w:t xml:space="preserve">роках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70982">
        <w:rPr>
          <w:rFonts w:ascii="Times New Roman" w:hAnsi="Times New Roman" w:cs="Times New Roman"/>
          <w:sz w:val="28"/>
          <w:szCs w:val="28"/>
          <w:lang w:val="uk-UA"/>
        </w:rPr>
        <w:t xml:space="preserve">спрямована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570982">
        <w:rPr>
          <w:rFonts w:ascii="Times New Roman" w:hAnsi="Times New Roman" w:cs="Times New Roman"/>
          <w:sz w:val="28"/>
          <w:szCs w:val="28"/>
          <w:lang w:val="uk-UA"/>
        </w:rPr>
        <w:t>на</w:t>
      </w:r>
      <w:proofErr w:type="gramEnd"/>
      <w:r w:rsidRPr="00570982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831E37" w:rsidRDefault="00831E37" w:rsidP="00831E37">
      <w:pPr>
        <w:pStyle w:val="ab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6822">
        <w:rPr>
          <w:rFonts w:ascii="Times New Roman" w:hAnsi="Times New Roman" w:cs="Times New Roman"/>
          <w:sz w:val="28"/>
          <w:szCs w:val="28"/>
          <w:lang w:val="uk-UA"/>
        </w:rPr>
        <w:t xml:space="preserve">зміцнення фінансової спроможності місцевих бюджетів; </w:t>
      </w:r>
    </w:p>
    <w:p w:rsidR="00831E37" w:rsidRDefault="00831E37" w:rsidP="00831E37">
      <w:pPr>
        <w:pStyle w:val="ab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6822">
        <w:rPr>
          <w:rFonts w:ascii="Times New Roman" w:hAnsi="Times New Roman" w:cs="Times New Roman"/>
          <w:sz w:val="28"/>
          <w:szCs w:val="28"/>
          <w:lang w:val="uk-UA"/>
        </w:rPr>
        <w:t xml:space="preserve">удосконалення міжбюджетного регулювання; </w:t>
      </w:r>
    </w:p>
    <w:p w:rsidR="00831E37" w:rsidRDefault="00831E37" w:rsidP="00831E37">
      <w:pPr>
        <w:pStyle w:val="ab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6822">
        <w:rPr>
          <w:rFonts w:ascii="Times New Roman" w:hAnsi="Times New Roman" w:cs="Times New Roman"/>
          <w:sz w:val="28"/>
          <w:szCs w:val="28"/>
          <w:lang w:val="uk-UA"/>
        </w:rPr>
        <w:t xml:space="preserve">підвищення ефективності формування фінансових ресурсів місцевих бюджетів на середньостроковий період; </w:t>
      </w:r>
    </w:p>
    <w:p w:rsidR="00831E37" w:rsidRDefault="00831E37" w:rsidP="00831E37">
      <w:pPr>
        <w:pStyle w:val="ab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6822">
        <w:rPr>
          <w:rFonts w:ascii="Times New Roman" w:hAnsi="Times New Roman" w:cs="Times New Roman"/>
          <w:sz w:val="28"/>
          <w:szCs w:val="28"/>
          <w:lang w:val="uk-UA"/>
        </w:rPr>
        <w:t>забезпечення методологічної основи з метою належної організації середньострокового бюджетного планування на місцевому рівні;</w:t>
      </w:r>
    </w:p>
    <w:p w:rsidR="00831E37" w:rsidRDefault="00831E37" w:rsidP="00831E37">
      <w:pPr>
        <w:pStyle w:val="ab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6822">
        <w:rPr>
          <w:rFonts w:ascii="Times New Roman" w:hAnsi="Times New Roman" w:cs="Times New Roman"/>
          <w:sz w:val="28"/>
          <w:szCs w:val="28"/>
          <w:lang w:val="uk-UA"/>
        </w:rPr>
        <w:t xml:space="preserve"> планування публічних інвестицій на основі нововведень до бюджетного законодавства; </w:t>
      </w:r>
    </w:p>
    <w:p w:rsidR="00831E37" w:rsidRPr="00366822" w:rsidRDefault="00831E37" w:rsidP="00831E37">
      <w:pPr>
        <w:pStyle w:val="ab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6822">
        <w:rPr>
          <w:rFonts w:ascii="Times New Roman" w:hAnsi="Times New Roman" w:cs="Times New Roman"/>
          <w:sz w:val="28"/>
          <w:szCs w:val="28"/>
          <w:lang w:val="uk-UA"/>
        </w:rPr>
        <w:t xml:space="preserve">підвищення прозорості та результативності використання бюджетних ресурсів. </w:t>
      </w:r>
    </w:p>
    <w:p w:rsidR="00BD26AC" w:rsidRPr="000518A1" w:rsidRDefault="00BD26AC" w:rsidP="00F331B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E5CC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Метою середньострокового бюджетного прогнозування є встановлення взаємоз</w:t>
      </w:r>
      <w:r w:rsidR="00C54ACE" w:rsidRPr="00BE5CC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</w:t>
      </w:r>
      <w:r w:rsidRPr="00BE5CC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’язку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між стратегічними цілями розвитку Лубенської територіальної громади та можливостями бю</w:t>
      </w:r>
      <w:r w:rsidR="00C54AC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жету у середньостроковій пер</w:t>
      </w:r>
      <w:r w:rsidR="000518A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спективі, </w:t>
      </w:r>
      <w:r w:rsidR="000518A1" w:rsidRPr="000518A1">
        <w:rPr>
          <w:rFonts w:ascii="Times New Roman" w:hAnsi="Times New Roman" w:cs="Times New Roman"/>
          <w:sz w:val="28"/>
          <w:szCs w:val="28"/>
          <w:lang w:val="uk-UA"/>
        </w:rPr>
        <w:t>підвищення прозорості бюджетного процесу</w:t>
      </w:r>
      <w:r w:rsidR="000518A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518A1" w:rsidRPr="000518A1">
        <w:rPr>
          <w:rFonts w:ascii="Times New Roman" w:hAnsi="Times New Roman" w:cs="Times New Roman"/>
          <w:sz w:val="28"/>
          <w:szCs w:val="28"/>
          <w:lang w:val="uk-UA"/>
        </w:rPr>
        <w:t xml:space="preserve"> посилення бюджетної дисципліни та контролю за використанням бюджетних коштів</w:t>
      </w:r>
      <w:r w:rsidR="000518A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518A1" w:rsidRPr="000518A1">
        <w:rPr>
          <w:rFonts w:ascii="Times New Roman" w:hAnsi="Times New Roman" w:cs="Times New Roman"/>
          <w:sz w:val="28"/>
          <w:szCs w:val="28"/>
          <w:lang w:val="uk-UA"/>
        </w:rPr>
        <w:t xml:space="preserve"> підвищення рівня відповідальності учасників бюджетного процесу</w:t>
      </w:r>
      <w:r w:rsidR="000518A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26AC" w:rsidRDefault="00BD26AC" w:rsidP="00F331B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Основними завданнями Прогнозу є підвищення результативності та ефективності бюджетних видатків, здійснення подальших кроків</w:t>
      </w:r>
      <w:r w:rsidR="00585F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 напрямі </w:t>
      </w:r>
      <w:r w:rsidR="00585F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динамічного росту доходів за рахунок позитивних зрушень в економіці</w:t>
      </w:r>
      <w:r w:rsidR="000518A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громади</w:t>
      </w:r>
      <w:r w:rsidR="00585F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585F04" w:rsidRDefault="00585F04" w:rsidP="00F331B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Прогноз включає індикативні про</w:t>
      </w:r>
      <w:r w:rsidR="00C54AC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нозні показники бюджету Лубенської </w:t>
      </w:r>
      <w:r w:rsidR="00C54AC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міської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територіальної громади (далі бюджету громади) за основними видами доходів, видатків, кредитування, фінансування, місцевого боргу та місцевих гарантій, показників бюджету розвитку, інвестиційних про</w:t>
      </w:r>
      <w:r w:rsidR="00AB42E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ктів, взаємовідносин бюджету громади з Державним та іншими місцевими бюджетами на середньострокову перспективу.</w:t>
      </w:r>
    </w:p>
    <w:p w:rsidR="00585F04" w:rsidRDefault="00585F04" w:rsidP="00F331B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Прогноз ґрунтується на принципі збалансованості бюджету, підвищує результативність та ефективність витрачання  бюджетних коштів, посилює бюджетну дисципліну, спрямовує фінансові ресурси на реалізацію пріоритетних соціальних напрямків та завдань для забезпечення ди</w:t>
      </w:r>
      <w:r w:rsidR="00F6415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</w:t>
      </w:r>
      <w:r w:rsidR="00F6415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</w:t>
      </w:r>
      <w:r w:rsidR="00F6415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ч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ного та збалансованого розвитку громади.</w:t>
      </w:r>
    </w:p>
    <w:p w:rsidR="00245664" w:rsidRPr="00245664" w:rsidRDefault="00245664" w:rsidP="0024566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45664">
        <w:rPr>
          <w:rFonts w:ascii="Times New Roman" w:hAnsi="Times New Roman" w:cs="Times New Roman"/>
          <w:sz w:val="28"/>
          <w:szCs w:val="28"/>
          <w:lang w:val="uk-UA"/>
        </w:rPr>
        <w:t xml:space="preserve">У зв’язку з повномасштабною збройною агресією російської федерації проти України Указом Президента України від 24.02.2022 № 64/2022 в Україні введено воєнний стан, який наразі продовжено. Військові дії, що тривають </w:t>
      </w:r>
      <w:r w:rsidR="0068252D">
        <w:rPr>
          <w:rFonts w:ascii="Times New Roman" w:hAnsi="Times New Roman" w:cs="Times New Roman"/>
          <w:sz w:val="28"/>
          <w:szCs w:val="28"/>
          <w:lang w:val="uk-UA"/>
        </w:rPr>
        <w:t>четвертий</w:t>
      </w:r>
      <w:r w:rsidRPr="00245664">
        <w:rPr>
          <w:rFonts w:ascii="Times New Roman" w:hAnsi="Times New Roman" w:cs="Times New Roman"/>
          <w:sz w:val="28"/>
          <w:szCs w:val="28"/>
          <w:lang w:val="uk-UA"/>
        </w:rPr>
        <w:t xml:space="preserve"> рік поспіль, вкрай негативно впливають на всі сфери суспільного життя, зумовлюють нові виклики, зокрема в галузях освіти, охорони здоров’я, довкілля, житлово-комунального господарства, в області критичної інфраструктури, яка має визначальне значення для безперебійного забезпечення життєдіяльності територіальної громади. </w:t>
      </w:r>
      <w:r w:rsidRPr="00245664">
        <w:rPr>
          <w:rFonts w:ascii="Times New Roman" w:hAnsi="Times New Roman" w:cs="Times New Roman"/>
          <w:sz w:val="28"/>
          <w:szCs w:val="28"/>
        </w:rPr>
        <w:t xml:space="preserve">Виклики, що стоять перед Україною у воєнний час, вимагають від усіх учасників бюджетного процесу надзвичайно зваженого і продуманого </w:t>
      </w:r>
      <w:proofErr w:type="gramStart"/>
      <w:r w:rsidRPr="0024566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45664">
        <w:rPr>
          <w:rFonts w:ascii="Times New Roman" w:hAnsi="Times New Roman" w:cs="Times New Roman"/>
          <w:sz w:val="28"/>
          <w:szCs w:val="28"/>
        </w:rPr>
        <w:t>ідходу до визначення напрямів витрачання бюджетного ресурсу.</w:t>
      </w:r>
    </w:p>
    <w:p w:rsidR="009D6EA6" w:rsidRDefault="009D6EA6" w:rsidP="00C645ED">
      <w:pPr>
        <w:spacing w:after="0" w:line="228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2749" w:rsidRDefault="00422749" w:rsidP="00C645ED">
      <w:pPr>
        <w:spacing w:after="0" w:line="228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2749" w:rsidRDefault="00422749" w:rsidP="00C645ED">
      <w:pPr>
        <w:spacing w:after="0" w:line="228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2749" w:rsidRDefault="00422749" w:rsidP="00C645ED">
      <w:pPr>
        <w:spacing w:after="0" w:line="228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2749" w:rsidRDefault="00422749" w:rsidP="00C645ED">
      <w:pPr>
        <w:spacing w:after="0" w:line="228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2749" w:rsidRDefault="00422749" w:rsidP="00C645ED">
      <w:pPr>
        <w:spacing w:after="0" w:line="228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2749" w:rsidRDefault="00422749" w:rsidP="00C645ED">
      <w:pPr>
        <w:spacing w:after="0" w:line="228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2749" w:rsidRDefault="00422749" w:rsidP="00C645ED">
      <w:pPr>
        <w:spacing w:after="0" w:line="228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2749" w:rsidRDefault="00422749" w:rsidP="00C645ED">
      <w:pPr>
        <w:spacing w:after="0" w:line="228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D6EA6" w:rsidRDefault="009D6EA6" w:rsidP="00C645ED">
      <w:pPr>
        <w:spacing w:after="0" w:line="228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645ED" w:rsidRDefault="00C645ED" w:rsidP="00C645ED">
      <w:pPr>
        <w:spacing w:after="0" w:line="228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45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ІІ. Основні прогнозні показники економічного </w:t>
      </w:r>
    </w:p>
    <w:p w:rsidR="00C645ED" w:rsidRDefault="00C645ED" w:rsidP="00C645ED">
      <w:pPr>
        <w:spacing w:after="0" w:line="228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45ED">
        <w:rPr>
          <w:rFonts w:ascii="Times New Roman" w:hAnsi="Times New Roman" w:cs="Times New Roman"/>
          <w:b/>
          <w:sz w:val="28"/>
          <w:szCs w:val="28"/>
          <w:lang w:val="uk-UA"/>
        </w:rPr>
        <w:t>та соціального розвитку</w:t>
      </w:r>
    </w:p>
    <w:p w:rsidR="00635578" w:rsidRDefault="00635578" w:rsidP="00C645ED">
      <w:pPr>
        <w:spacing w:after="0" w:line="228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C3ADA" w:rsidRDefault="007C3ADA" w:rsidP="00DC36A0">
      <w:pPr>
        <w:spacing w:after="0" w:line="312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3ADA" w:rsidRPr="00422749" w:rsidRDefault="007C3ADA" w:rsidP="009D6EA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ADA">
        <w:rPr>
          <w:rFonts w:ascii="Times New Roman" w:hAnsi="Times New Roman" w:cs="Times New Roman"/>
          <w:sz w:val="28"/>
          <w:szCs w:val="28"/>
          <w:lang w:val="uk-UA"/>
        </w:rPr>
        <w:t xml:space="preserve">Згідно з моніторинговими даними, у промисловому комплексі громади за </w:t>
      </w:r>
      <w:r w:rsidR="004227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3ADA">
        <w:rPr>
          <w:rFonts w:ascii="Times New Roman" w:hAnsi="Times New Roman" w:cs="Times New Roman"/>
          <w:sz w:val="28"/>
          <w:szCs w:val="28"/>
          <w:lang w:val="uk-UA"/>
        </w:rPr>
        <w:t xml:space="preserve">5 місяців 2025 року обсяги реалізації промислової продукції склали 1574,8 млн. грн., що на 229,9 млн. грн. більше, ніж у відповідному періоді попереднього року. </w:t>
      </w:r>
      <w:r w:rsidRPr="00422749">
        <w:rPr>
          <w:rFonts w:ascii="Times New Roman" w:hAnsi="Times New Roman" w:cs="Times New Roman"/>
          <w:sz w:val="28"/>
          <w:szCs w:val="28"/>
          <w:lang w:val="uk-UA"/>
        </w:rPr>
        <w:t>За розрахунковими даними темп росту  становить 117,1 %.</w:t>
      </w:r>
    </w:p>
    <w:p w:rsidR="007C3ADA" w:rsidRPr="007C3ADA" w:rsidRDefault="007C3ADA" w:rsidP="009D6EA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3ADA">
        <w:rPr>
          <w:rFonts w:ascii="Times New Roman" w:hAnsi="Times New Roman" w:cs="Times New Roman"/>
          <w:sz w:val="28"/>
          <w:szCs w:val="28"/>
        </w:rPr>
        <w:t xml:space="preserve">За результатами проведеного аналізу, попри загрози воєнного стану, у поточному році основні галузі переробної промисловості міста не лише не скоротили, </w:t>
      </w:r>
      <w:proofErr w:type="gramStart"/>
      <w:r w:rsidRPr="007C3ADA">
        <w:rPr>
          <w:rFonts w:ascii="Times New Roman" w:hAnsi="Times New Roman" w:cs="Times New Roman"/>
          <w:sz w:val="28"/>
          <w:szCs w:val="28"/>
        </w:rPr>
        <w:t>але й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 xml:space="preserve"> наростили обсяги реалізації промислової продукції. Загальний темп росту обсягів реалізації переробної промисловості склав 122,0 %.</w:t>
      </w:r>
    </w:p>
    <w:p w:rsidR="007C3ADA" w:rsidRPr="007C3ADA" w:rsidRDefault="007C3ADA" w:rsidP="009D6EA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3ADA">
        <w:rPr>
          <w:rFonts w:ascii="Times New Roman" w:hAnsi="Times New Roman" w:cs="Times New Roman"/>
          <w:sz w:val="28"/>
          <w:szCs w:val="28"/>
        </w:rPr>
        <w:t>На 62,0 % більше відповідного періоду минулого року реалізувала промислової продукції фармацевтична промисловість міста, яка представлена АТ «Лубнифарм», із часткою у загальноміських обсягах реалізації 23,5 %, яка щорічно зроста</w:t>
      </w:r>
      <w:proofErr w:type="gramStart"/>
      <w:r w:rsidRPr="007C3ADA">
        <w:rPr>
          <w:rFonts w:ascii="Times New Roman" w:hAnsi="Times New Roman" w:cs="Times New Roman"/>
          <w:sz w:val="28"/>
          <w:szCs w:val="28"/>
        </w:rPr>
        <w:t>є.</w:t>
      </w:r>
      <w:proofErr w:type="gramEnd"/>
    </w:p>
    <w:p w:rsidR="007C3ADA" w:rsidRPr="007C3ADA" w:rsidRDefault="007C3ADA" w:rsidP="009D6EA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3ADA">
        <w:rPr>
          <w:rFonts w:ascii="Times New Roman" w:hAnsi="Times New Roman" w:cs="Times New Roman"/>
          <w:sz w:val="28"/>
          <w:szCs w:val="28"/>
        </w:rPr>
        <w:t xml:space="preserve">На 15,8 % наростили обсяги реалізації </w:t>
      </w:r>
      <w:proofErr w:type="gramStart"/>
      <w:r w:rsidRPr="007C3AD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>ідприємства деревообробної промисловості, найбільшим з яких є ТОВ «Грейд-плюс», частка у загальноміських обсягах реалізації – 23,6 %.</w:t>
      </w:r>
    </w:p>
    <w:p w:rsidR="007C3ADA" w:rsidRPr="007C3ADA" w:rsidRDefault="007C3ADA" w:rsidP="009D6EA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3ADA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 xml:space="preserve">і зростанням обсягів реалізації промислової продукції на 46,8 % спрацювали підприємства харчової промисловості міста, яка представлена ТОВ «Лубним’ясо», ТОВ «Дом Фактор» та ТОВ «Лубенський молочний завод». Частка обсягів реалізації </w:t>
      </w:r>
      <w:proofErr w:type="gramStart"/>
      <w:r w:rsidRPr="007C3AD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 xml:space="preserve">ідприємств харчової промисловості у загальноміських обсягах також зросла і становить 23,6 %. </w:t>
      </w:r>
    </w:p>
    <w:p w:rsidR="007C3ADA" w:rsidRPr="007C3ADA" w:rsidRDefault="007C3ADA" w:rsidP="009D6EA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3ADA">
        <w:rPr>
          <w:rFonts w:ascii="Times New Roman" w:hAnsi="Times New Roman" w:cs="Times New Roman"/>
          <w:sz w:val="28"/>
          <w:szCs w:val="28"/>
        </w:rPr>
        <w:t xml:space="preserve">Практично на </w:t>
      </w:r>
      <w:proofErr w:type="gramStart"/>
      <w:r w:rsidRPr="007C3AD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 xml:space="preserve">івні відповідного періоду минулого року (95,9 %) спрацювали підприємства легкої промисловості. Частка легкої промисловості у загальноміських обсягах реалізації незначна і складає 0,9  %. Найбільшими підприємствами цієї галузі протягом року були ТОВ «Лінтекс Українська швейна фабрика», Лубенське УВП УТОГ та ТОВ «Валтекс-маркетинг Плюс». </w:t>
      </w:r>
    </w:p>
    <w:p w:rsidR="007C3ADA" w:rsidRPr="007C3ADA" w:rsidRDefault="007C3ADA" w:rsidP="009D6EA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3ADA">
        <w:rPr>
          <w:rFonts w:ascii="Times New Roman" w:hAnsi="Times New Roman" w:cs="Times New Roman"/>
          <w:sz w:val="28"/>
          <w:szCs w:val="28"/>
        </w:rPr>
        <w:t xml:space="preserve">Дещо скоротили обсяги реалізації промислової продукції (на 15,8 %) </w:t>
      </w:r>
      <w:proofErr w:type="gramStart"/>
      <w:r w:rsidRPr="007C3AD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 xml:space="preserve">ідприємства машинобудування. Найбільшими </w:t>
      </w:r>
      <w:proofErr w:type="gramStart"/>
      <w:r w:rsidRPr="007C3AD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 xml:space="preserve">ідприємствами галузі є </w:t>
      </w:r>
      <w:r w:rsidR="00422749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7C3ADA">
        <w:rPr>
          <w:rFonts w:ascii="Times New Roman" w:hAnsi="Times New Roman" w:cs="Times New Roman"/>
          <w:sz w:val="28"/>
          <w:szCs w:val="28"/>
        </w:rPr>
        <w:lastRenderedPageBreak/>
        <w:t xml:space="preserve">ПП «Лубнимаш», Відокремлений підрозділ «Лубенський верстатобудівний завод» АТ «Мотор Січ» та ТОВ «Спецлісмаш», частка галузі у загальноміських обсягах реалізації становить 17,9 %. </w:t>
      </w:r>
    </w:p>
    <w:p w:rsidR="007C3ADA" w:rsidRPr="007C3ADA" w:rsidRDefault="007C3ADA" w:rsidP="009D6EA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3ADA">
        <w:rPr>
          <w:rFonts w:ascii="Times New Roman" w:hAnsi="Times New Roman" w:cs="Times New Roman"/>
          <w:sz w:val="28"/>
          <w:szCs w:val="28"/>
        </w:rPr>
        <w:t xml:space="preserve">Також на 28,1 % скоротили обсяги реалізації </w:t>
      </w:r>
      <w:proofErr w:type="gramStart"/>
      <w:r w:rsidRPr="007C3AD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 xml:space="preserve">ідприємства промисловості будівельних матеріалів (ТОВ «Лубенський цегельний завод» та </w:t>
      </w:r>
      <w:r w:rsidR="0042274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Pr="007C3ADA">
        <w:rPr>
          <w:rFonts w:ascii="Times New Roman" w:hAnsi="Times New Roman" w:cs="Times New Roman"/>
          <w:sz w:val="28"/>
          <w:szCs w:val="28"/>
        </w:rPr>
        <w:t>ТОВ «Лубенське ШБУ №9») з часткою у загальноміських обсягах всього 0,4 %.</w:t>
      </w:r>
    </w:p>
    <w:p w:rsidR="007C3ADA" w:rsidRPr="007C3ADA" w:rsidRDefault="007C3ADA" w:rsidP="009D6EA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3ADA">
        <w:rPr>
          <w:rFonts w:ascii="Times New Roman" w:hAnsi="Times New Roman" w:cs="Times New Roman"/>
          <w:sz w:val="28"/>
          <w:szCs w:val="28"/>
        </w:rPr>
        <w:t xml:space="preserve">Скорочення обсягів реалізації промислової продукції </w:t>
      </w:r>
      <w:proofErr w:type="gramStart"/>
      <w:r w:rsidRPr="007C3AD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 xml:space="preserve">ідприємствами по виробництву та розподіленню електроенергії, газу та води (АТ «Лубнигаз», ТОВ  «Лубнигаз-Трейдинг», КП «Лубни-водоканал» та ОКВП </w:t>
      </w:r>
      <w:r w:rsidR="008822E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Pr="007C3ADA">
        <w:rPr>
          <w:rFonts w:ascii="Times New Roman" w:hAnsi="Times New Roman" w:cs="Times New Roman"/>
          <w:sz w:val="28"/>
          <w:szCs w:val="28"/>
        </w:rPr>
        <w:t>ТГ «Лубнитеплоенерго») склало 10,9 %. Частка галузі у загальноміських обсягах реалізації становить 11,4 %.</w:t>
      </w:r>
    </w:p>
    <w:p w:rsidR="007C3ADA" w:rsidRPr="007C3ADA" w:rsidRDefault="007C3ADA" w:rsidP="009D6EA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3ADA">
        <w:rPr>
          <w:rFonts w:ascii="Times New Roman" w:hAnsi="Times New Roman" w:cs="Times New Roman"/>
          <w:sz w:val="28"/>
          <w:szCs w:val="28"/>
        </w:rPr>
        <w:t xml:space="preserve">Незважаючи на уповільнення темпів розвитку економіки України, зміну </w:t>
      </w:r>
      <w:proofErr w:type="gramStart"/>
      <w:r w:rsidRPr="007C3ADA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>іоритетних напрямків соціально-економічного розвитку держави, повʼязану з військовою агресією російської федерації та введенням воєнного стану на території України, виконавчим комітетом Лубенської міської ради у поточному році продовжувалася робота по залученню інвестицій у соціально-економічний розвиток громади.</w:t>
      </w:r>
    </w:p>
    <w:p w:rsidR="007C3ADA" w:rsidRPr="007C3ADA" w:rsidRDefault="007C3ADA" w:rsidP="009D6EA6">
      <w:pPr>
        <w:tabs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it-IT"/>
        </w:rPr>
      </w:pPr>
      <w:r w:rsidRPr="007C3ADA">
        <w:rPr>
          <w:rFonts w:ascii="Times New Roman" w:hAnsi="Times New Roman" w:cs="Times New Roman"/>
          <w:sz w:val="28"/>
          <w:szCs w:val="28"/>
        </w:rPr>
        <w:t xml:space="preserve">За результатами </w:t>
      </w:r>
      <w:proofErr w:type="gramStart"/>
      <w:r w:rsidRPr="007C3ADA">
        <w:rPr>
          <w:rFonts w:ascii="Times New Roman" w:hAnsi="Times New Roman" w:cs="Times New Roman"/>
          <w:sz w:val="28"/>
          <w:szCs w:val="28"/>
        </w:rPr>
        <w:t>конкурсного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 xml:space="preserve"> відбору проєктів у рамках «Програми відновлення України» проєкт «</w:t>
      </w:r>
      <w:r w:rsidRPr="007C3ADA">
        <w:rPr>
          <w:rFonts w:ascii="Times New Roman" w:hAnsi="Times New Roman" w:cs="Times New Roman"/>
          <w:sz w:val="28"/>
          <w:szCs w:val="28"/>
          <w:lang w:eastAsia="it-IT"/>
        </w:rPr>
        <w:t>Будівництво Лубенського дошкільного навчального закладу  комбінованого типу для дітей з проблемами опорно-рухового апарату та вадами мовлення на 12 груп по вул. Ватутіна, 39 в</w:t>
      </w:r>
      <w:r w:rsidR="004C18C1">
        <w:rPr>
          <w:rFonts w:ascii="Times New Roman" w:hAnsi="Times New Roman" w:cs="Times New Roman"/>
          <w:sz w:val="28"/>
          <w:szCs w:val="28"/>
          <w:lang w:val="uk-UA" w:eastAsia="it-IT"/>
        </w:rPr>
        <w:t xml:space="preserve">             </w:t>
      </w:r>
      <w:r w:rsidRPr="007C3ADA">
        <w:rPr>
          <w:rFonts w:ascii="Times New Roman" w:hAnsi="Times New Roman" w:cs="Times New Roman"/>
          <w:sz w:val="28"/>
          <w:szCs w:val="28"/>
          <w:lang w:eastAsia="it-IT"/>
        </w:rPr>
        <w:t xml:space="preserve"> м. Лубни Полтавської області» загальною вартістю 154315,390 тис. грн. увійшов до числа переможців. Згідно з </w:t>
      </w:r>
      <w:proofErr w:type="gramStart"/>
      <w:r w:rsidRPr="007C3ADA">
        <w:rPr>
          <w:rFonts w:ascii="Times New Roman" w:hAnsi="Times New Roman" w:cs="Times New Roman"/>
          <w:sz w:val="28"/>
          <w:szCs w:val="28"/>
          <w:lang w:eastAsia="it-IT"/>
        </w:rPr>
        <w:t>п</w:t>
      </w:r>
      <w:proofErr w:type="gramEnd"/>
      <w:r w:rsidRPr="007C3ADA">
        <w:rPr>
          <w:rFonts w:ascii="Times New Roman" w:hAnsi="Times New Roman" w:cs="Times New Roman"/>
          <w:sz w:val="28"/>
          <w:szCs w:val="28"/>
          <w:lang w:eastAsia="it-IT"/>
        </w:rPr>
        <w:t xml:space="preserve">ідписано Угодою про передачу коштів позики між Мінфіном, Мінінфраструктури та Лубенською міською </w:t>
      </w:r>
      <w:r w:rsidRPr="007C3ADA">
        <w:rPr>
          <w:rFonts w:ascii="Times New Roman" w:hAnsi="Times New Roman" w:cs="Times New Roman"/>
          <w:sz w:val="28"/>
          <w:szCs w:val="28"/>
        </w:rPr>
        <w:t xml:space="preserve">радою загальний обсяг фінансування з державного бюджету за вказаним проєктом складає 127853,354 тис. грн. </w:t>
      </w:r>
      <w:r w:rsidRPr="007C3ADA">
        <w:rPr>
          <w:rFonts w:ascii="Times New Roman" w:hAnsi="Times New Roman" w:cs="Times New Roman"/>
          <w:sz w:val="28"/>
          <w:szCs w:val="28"/>
          <w:lang w:eastAsia="it-IT"/>
        </w:rPr>
        <w:t>Постановою  Кабінету Міні</w:t>
      </w:r>
      <w:proofErr w:type="gramStart"/>
      <w:r w:rsidRPr="007C3ADA">
        <w:rPr>
          <w:rFonts w:ascii="Times New Roman" w:hAnsi="Times New Roman" w:cs="Times New Roman"/>
          <w:sz w:val="28"/>
          <w:szCs w:val="28"/>
          <w:lang w:eastAsia="it-IT"/>
        </w:rPr>
        <w:t>стр</w:t>
      </w:r>
      <w:proofErr w:type="gramEnd"/>
      <w:r w:rsidRPr="007C3ADA">
        <w:rPr>
          <w:rFonts w:ascii="Times New Roman" w:hAnsi="Times New Roman" w:cs="Times New Roman"/>
          <w:sz w:val="28"/>
          <w:szCs w:val="28"/>
          <w:lang w:eastAsia="it-IT"/>
        </w:rPr>
        <w:t xml:space="preserve">ів України від 07.03.2025 року № 269 на 2025 рік було виділено з державного бюджету субвенцію для реалізації цього проєкту у розмірі </w:t>
      </w:r>
      <w:r w:rsidRPr="007C3AD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37,7 </w:t>
      </w:r>
      <w:r w:rsidRPr="007C3ADA">
        <w:rPr>
          <w:rFonts w:ascii="Times New Roman" w:hAnsi="Times New Roman" w:cs="Times New Roman"/>
          <w:sz w:val="28"/>
          <w:szCs w:val="28"/>
          <w:lang w:eastAsia="it-IT"/>
        </w:rPr>
        <w:t xml:space="preserve">млн. грн. </w:t>
      </w:r>
    </w:p>
    <w:p w:rsidR="007C3ADA" w:rsidRPr="007C3ADA" w:rsidRDefault="007C3ADA" w:rsidP="009D6EA6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it-IT"/>
        </w:rPr>
      </w:pPr>
      <w:r w:rsidRPr="007C3ADA">
        <w:rPr>
          <w:rFonts w:ascii="Times New Roman" w:hAnsi="Times New Roman" w:cs="Times New Roman"/>
          <w:sz w:val="28"/>
          <w:szCs w:val="28"/>
          <w:lang w:eastAsia="it-IT"/>
        </w:rPr>
        <w:lastRenderedPageBreak/>
        <w:t xml:space="preserve">На сьогодні від Групи управління і </w:t>
      </w:r>
      <w:proofErr w:type="gramStart"/>
      <w:r w:rsidRPr="007C3ADA">
        <w:rPr>
          <w:rFonts w:ascii="Times New Roman" w:hAnsi="Times New Roman" w:cs="Times New Roman"/>
          <w:sz w:val="28"/>
          <w:szCs w:val="28"/>
          <w:lang w:eastAsia="it-IT"/>
        </w:rPr>
        <w:t>п</w:t>
      </w:r>
      <w:proofErr w:type="gramEnd"/>
      <w:r w:rsidRPr="007C3ADA">
        <w:rPr>
          <w:rFonts w:ascii="Times New Roman" w:hAnsi="Times New Roman" w:cs="Times New Roman"/>
          <w:sz w:val="28"/>
          <w:szCs w:val="28"/>
          <w:lang w:eastAsia="it-IT"/>
        </w:rPr>
        <w:t>ідтримки проєктів ПВУ та НКПВУ отримано схвалення тендерної документації та триває підготовка до тендерних процедур.</w:t>
      </w:r>
    </w:p>
    <w:p w:rsidR="007C3ADA" w:rsidRPr="007C3ADA" w:rsidRDefault="007C3ADA" w:rsidP="009D6EA6">
      <w:pPr>
        <w:tabs>
          <w:tab w:val="left" w:pos="993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3ADA">
        <w:rPr>
          <w:rFonts w:ascii="Times New Roman" w:hAnsi="Times New Roman" w:cs="Times New Roman"/>
          <w:sz w:val="28"/>
          <w:szCs w:val="28"/>
          <w:lang w:eastAsia="it-IT"/>
        </w:rPr>
        <w:t>У рамках «Надзвичайної кредитної програми для відновлення України» у 2023 році перемогу отримав проєкт «</w:t>
      </w:r>
      <w:r w:rsidRPr="007C3ADA">
        <w:rPr>
          <w:rFonts w:ascii="Times New Roman" w:hAnsi="Times New Roman" w:cs="Times New Roman"/>
          <w:sz w:val="28"/>
          <w:szCs w:val="28"/>
        </w:rPr>
        <w:t xml:space="preserve">Реконструкція </w:t>
      </w:r>
      <w:proofErr w:type="gramStart"/>
      <w:r w:rsidRPr="007C3ADA">
        <w:rPr>
          <w:rFonts w:ascii="Times New Roman" w:hAnsi="Times New Roman" w:cs="Times New Roman"/>
          <w:sz w:val="28"/>
          <w:szCs w:val="28"/>
        </w:rPr>
        <w:t>Опорного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 xml:space="preserve"> закладу «Засульський ліцей Лубенської міської ради Лубенського району Полтавської області» за адресою вул. Молодіжна, 81-А, с</w:t>
      </w:r>
      <w:proofErr w:type="gramStart"/>
      <w:r w:rsidRPr="007C3ADA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 xml:space="preserve">асулля, Лубенський район, Полтавська область» загальною вартістю 128156,917 тис. грн. </w:t>
      </w:r>
    </w:p>
    <w:p w:rsidR="007C3ADA" w:rsidRPr="007C3ADA" w:rsidRDefault="007C3ADA" w:rsidP="009D6EA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3ADA">
        <w:rPr>
          <w:rFonts w:ascii="Times New Roman" w:hAnsi="Times New Roman" w:cs="Times New Roman"/>
          <w:sz w:val="28"/>
          <w:szCs w:val="28"/>
        </w:rPr>
        <w:t xml:space="preserve">На початку 2024 року було </w:t>
      </w:r>
      <w:proofErr w:type="gramStart"/>
      <w:r w:rsidRPr="007C3AD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 xml:space="preserve">ідписано угоду про передачу коштів позики, згідно з якою загальний обсяг фінансування проєкту з державного бюджету склав 81666,667 тис. грн. Згідно з постановою </w:t>
      </w:r>
      <w:r w:rsidRPr="007C3ADA">
        <w:rPr>
          <w:rFonts w:ascii="Times New Roman" w:hAnsi="Times New Roman" w:cs="Times New Roman"/>
          <w:sz w:val="28"/>
          <w:szCs w:val="28"/>
          <w:lang w:eastAsia="it-IT"/>
        </w:rPr>
        <w:t>Кабінету Міні</w:t>
      </w:r>
      <w:proofErr w:type="gramStart"/>
      <w:r w:rsidRPr="007C3ADA">
        <w:rPr>
          <w:rFonts w:ascii="Times New Roman" w:hAnsi="Times New Roman" w:cs="Times New Roman"/>
          <w:sz w:val="28"/>
          <w:szCs w:val="28"/>
          <w:lang w:eastAsia="it-IT"/>
        </w:rPr>
        <w:t>стр</w:t>
      </w:r>
      <w:proofErr w:type="gramEnd"/>
      <w:r w:rsidRPr="007C3ADA">
        <w:rPr>
          <w:rFonts w:ascii="Times New Roman" w:hAnsi="Times New Roman" w:cs="Times New Roman"/>
          <w:sz w:val="28"/>
          <w:szCs w:val="28"/>
          <w:lang w:eastAsia="it-IT"/>
        </w:rPr>
        <w:t xml:space="preserve">ів України від 21.03.2025 року № 320 обсяг субвенції з державного бюджету на 2025 рік на реалізацію вказаного проєкту склав </w:t>
      </w:r>
      <w:r w:rsidRPr="007C3ADA">
        <w:rPr>
          <w:rFonts w:ascii="Times New Roman" w:hAnsi="Times New Roman" w:cs="Times New Roman"/>
          <w:sz w:val="28"/>
          <w:szCs w:val="28"/>
        </w:rPr>
        <w:t>майже 3</w:t>
      </w:r>
      <w:bookmarkStart w:id="0" w:name="_GoBack"/>
      <w:bookmarkEnd w:id="0"/>
      <w:r w:rsidRPr="007C3ADA">
        <w:rPr>
          <w:rFonts w:ascii="Times New Roman" w:hAnsi="Times New Roman" w:cs="Times New Roman"/>
          <w:sz w:val="28"/>
          <w:szCs w:val="28"/>
        </w:rPr>
        <w:t>1,9 млн. грн.</w:t>
      </w:r>
    </w:p>
    <w:p w:rsidR="007C3ADA" w:rsidRPr="007C3ADA" w:rsidRDefault="007C3ADA" w:rsidP="009D6EA6">
      <w:pPr>
        <w:tabs>
          <w:tab w:val="left" w:pos="993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3ADA">
        <w:rPr>
          <w:rFonts w:ascii="Times New Roman" w:hAnsi="Times New Roman" w:cs="Times New Roman"/>
          <w:sz w:val="28"/>
          <w:szCs w:val="28"/>
        </w:rPr>
        <w:t xml:space="preserve">На сьогодні замовником розроблено тендерну документацію за вказаним проєктом, отримано її погодження </w:t>
      </w:r>
      <w:r w:rsidRPr="007C3ADA">
        <w:rPr>
          <w:rFonts w:ascii="Times New Roman" w:hAnsi="Times New Roman" w:cs="Times New Roman"/>
          <w:sz w:val="28"/>
          <w:szCs w:val="28"/>
          <w:lang w:eastAsia="it-IT"/>
        </w:rPr>
        <w:t xml:space="preserve">Групою управління і </w:t>
      </w:r>
      <w:proofErr w:type="gramStart"/>
      <w:r w:rsidRPr="007C3ADA">
        <w:rPr>
          <w:rFonts w:ascii="Times New Roman" w:hAnsi="Times New Roman" w:cs="Times New Roman"/>
          <w:sz w:val="28"/>
          <w:szCs w:val="28"/>
          <w:lang w:eastAsia="it-IT"/>
        </w:rPr>
        <w:t>п</w:t>
      </w:r>
      <w:proofErr w:type="gramEnd"/>
      <w:r w:rsidRPr="007C3ADA">
        <w:rPr>
          <w:rFonts w:ascii="Times New Roman" w:hAnsi="Times New Roman" w:cs="Times New Roman"/>
          <w:sz w:val="28"/>
          <w:szCs w:val="28"/>
          <w:lang w:eastAsia="it-IT"/>
        </w:rPr>
        <w:t>ідтримки проєктів ПВУ та НКПВУ та проведено тендер.</w:t>
      </w:r>
    </w:p>
    <w:p w:rsidR="007C3ADA" w:rsidRPr="007C3ADA" w:rsidRDefault="007C3ADA" w:rsidP="009D6EA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ADA">
        <w:rPr>
          <w:rFonts w:ascii="Times New Roman" w:hAnsi="Times New Roman" w:cs="Times New Roman"/>
          <w:sz w:val="28"/>
          <w:szCs w:val="28"/>
        </w:rPr>
        <w:t xml:space="preserve">Крім того, у 2023 році було розроблено проєктну документацію за проєктом «Реконструкція водозабірного майданчика № 2 та мереж водопостачання від водозабірного майданчика № 2 до вулиці Вишневецьких </w:t>
      </w:r>
      <w:r w:rsidR="00422749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7C3ADA">
        <w:rPr>
          <w:rFonts w:ascii="Times New Roman" w:hAnsi="Times New Roman" w:cs="Times New Roman"/>
          <w:sz w:val="28"/>
          <w:szCs w:val="28"/>
        </w:rPr>
        <w:t>№ 19/1, від водозабірного майданчика № 3 до вулиці Фабричної та по вулиці Камʼянопотіцькій (ві</w:t>
      </w:r>
      <w:proofErr w:type="gramStart"/>
      <w:r w:rsidRPr="007C3ADA">
        <w:rPr>
          <w:rFonts w:ascii="Times New Roman" w:hAnsi="Times New Roman" w:cs="Times New Roman"/>
          <w:sz w:val="28"/>
          <w:szCs w:val="28"/>
        </w:rPr>
        <w:t>д вулиц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>і Садової до вулиці Дачної) в мі</w:t>
      </w:r>
      <w:proofErr w:type="gramStart"/>
      <w:r w:rsidRPr="007C3ADA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>і Лубни Полтавської області» на загальну суму  75,4 млн. грн., який був поданий на участь у відборі проєктів для фінансування за рахунок коштів фонду ліквідації наслідків збройної агресії.</w:t>
      </w:r>
    </w:p>
    <w:p w:rsidR="007C3ADA" w:rsidRPr="007C3ADA" w:rsidRDefault="007C3ADA" w:rsidP="009D6EA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3ADA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 xml:space="preserve"> метою реалізації вказаного проєкту за рахунок коштів державного бюджету у травні 2025 року Лубенською міською радою було прийняте рішення щодо передачі функцій замовника та отримувача бюджетних коштів за вказаним проєктом Службі відновлення та розвитку інфраструктури Дніпропетровської області. У червні 2025 року рішенням сесії Лубенської </w:t>
      </w:r>
      <w:r w:rsidRPr="007C3ADA">
        <w:rPr>
          <w:rFonts w:ascii="Times New Roman" w:hAnsi="Times New Roman" w:cs="Times New Roman"/>
          <w:sz w:val="28"/>
          <w:szCs w:val="28"/>
        </w:rPr>
        <w:lastRenderedPageBreak/>
        <w:t>міської ради виділено 500,0 тис</w:t>
      </w:r>
      <w:proofErr w:type="gramStart"/>
      <w:r w:rsidRPr="007C3AD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C3AD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>рн. з місцевого бюджету для початку реалізації цього проєкту.</w:t>
      </w:r>
    </w:p>
    <w:p w:rsidR="007C3ADA" w:rsidRPr="007C3ADA" w:rsidRDefault="007C3ADA" w:rsidP="009D6EA6">
      <w:pPr>
        <w:tabs>
          <w:tab w:val="left" w:pos="1134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3ADA">
        <w:rPr>
          <w:rFonts w:ascii="Times New Roman" w:hAnsi="Times New Roman" w:cs="Times New Roman"/>
          <w:sz w:val="28"/>
          <w:szCs w:val="28"/>
        </w:rPr>
        <w:t xml:space="preserve">Традиційно мешканці Лубенської територіальної громади беруть активну участь у громадських бюджетах усіх </w:t>
      </w:r>
      <w:proofErr w:type="gramStart"/>
      <w:r w:rsidRPr="007C3AD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 xml:space="preserve">івнів. Так у 2025 році Полтавською обласною радою було оголошено конкурс «Екологічні ініціативи Полтавської області», на який від громади було подано 7 проєктів (проти 8 проєктів у минулому році). </w:t>
      </w:r>
    </w:p>
    <w:p w:rsidR="007C3ADA" w:rsidRPr="007C3ADA" w:rsidRDefault="007C3ADA" w:rsidP="009D6EA6">
      <w:pPr>
        <w:tabs>
          <w:tab w:val="left" w:pos="426"/>
          <w:tab w:val="left" w:pos="1134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3ADA">
        <w:rPr>
          <w:rFonts w:ascii="Times New Roman" w:hAnsi="Times New Roman" w:cs="Times New Roman"/>
          <w:sz w:val="28"/>
          <w:szCs w:val="28"/>
        </w:rPr>
        <w:t>Три з них («Зелені легені-2 Першої гімназії імені Матвія Номиса Лубенської міської ради», «ЕкоSMART-прості</w:t>
      </w:r>
      <w:proofErr w:type="gramStart"/>
      <w:r w:rsidRPr="007C3AD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>» та «Освітній «ЕкоЦЕНТР»») перемогли, отримали фінансування з обласного бюджету на загальну суму 468,379 тис. грн. та мають бути реалізовані до кінця поточного року за умови співфінансування з місцевого бюджету.</w:t>
      </w:r>
    </w:p>
    <w:p w:rsidR="007C3ADA" w:rsidRPr="007C3ADA" w:rsidRDefault="007C3ADA" w:rsidP="009D6EA6">
      <w:pPr>
        <w:pStyle w:val="ab"/>
        <w:tabs>
          <w:tab w:val="left" w:pos="426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3ADA">
        <w:rPr>
          <w:rFonts w:ascii="Times New Roman" w:hAnsi="Times New Roman" w:cs="Times New Roman"/>
          <w:sz w:val="28"/>
          <w:szCs w:val="28"/>
        </w:rPr>
        <w:t xml:space="preserve">Активно долучилася громада у 2025 році до участі </w:t>
      </w:r>
      <w:proofErr w:type="gramStart"/>
      <w:r w:rsidRPr="007C3ADA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 xml:space="preserve"> конкурсі «Час діяти, Україно!», що проводиться та реалізується БО «БФ «МХП-Громаді». </w:t>
      </w:r>
      <w:proofErr w:type="gramStart"/>
      <w:r w:rsidRPr="007C3ADA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 xml:space="preserve"> семи поданих від громади заявок  перемогу здобули два проєкти:</w:t>
      </w:r>
    </w:p>
    <w:p w:rsidR="007C3ADA" w:rsidRPr="007C3ADA" w:rsidRDefault="007C3ADA" w:rsidP="009D6EA6">
      <w:pPr>
        <w:pStyle w:val="ab"/>
        <w:numPr>
          <w:ilvl w:val="0"/>
          <w:numId w:val="3"/>
        </w:numPr>
        <w:tabs>
          <w:tab w:val="left" w:pos="426"/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3ADA">
        <w:rPr>
          <w:rFonts w:ascii="Times New Roman" w:hAnsi="Times New Roman" w:cs="Times New Roman"/>
          <w:sz w:val="28"/>
          <w:szCs w:val="28"/>
        </w:rPr>
        <w:t xml:space="preserve">«Облаштування простору для реінтеграції та реабілітації військових, не обмежуючи жінок/чоловіків, інвалідів, молодь та інші </w:t>
      </w:r>
      <w:proofErr w:type="gramStart"/>
      <w:r w:rsidRPr="007C3ADA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>іальні категорії», ініціатор - БО «БФ Melek Янгол охоронець», загальна вартість – 1100,0 тис. грн. (кошти від БФ «МХП-Громаді» – 500,0 грн.);</w:t>
      </w:r>
    </w:p>
    <w:p w:rsidR="007C3ADA" w:rsidRPr="007C3ADA" w:rsidRDefault="007C3ADA" w:rsidP="009D6EA6">
      <w:pPr>
        <w:pStyle w:val="ab"/>
        <w:numPr>
          <w:ilvl w:val="0"/>
          <w:numId w:val="3"/>
        </w:numPr>
        <w:tabs>
          <w:tab w:val="left" w:pos="426"/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3ADA">
        <w:rPr>
          <w:rFonts w:ascii="Times New Roman" w:hAnsi="Times New Roman" w:cs="Times New Roman"/>
          <w:sz w:val="28"/>
          <w:szCs w:val="28"/>
        </w:rPr>
        <w:t>«Створення сучасного інклюзивного простору для дітей з інвалідністю», ініціатор - Лубенський міський центр комплексної реабілітації дітей з інвалідністю, загальна вартість 149,0 тис</w:t>
      </w:r>
      <w:proofErr w:type="gramStart"/>
      <w:r w:rsidRPr="007C3AD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C3AD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>рн. (кошти від БФ «МХП-Громаді» – 99,3 тис. грн., кошти з місцевого бюджету – 49,7 тис. грн.).</w:t>
      </w:r>
    </w:p>
    <w:p w:rsidR="007C3ADA" w:rsidRPr="007C3ADA" w:rsidRDefault="007C3ADA" w:rsidP="009D6EA6">
      <w:pPr>
        <w:tabs>
          <w:tab w:val="left" w:pos="426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3ADA">
        <w:rPr>
          <w:rFonts w:ascii="Times New Roman" w:hAnsi="Times New Roman" w:cs="Times New Roman"/>
          <w:sz w:val="28"/>
          <w:szCs w:val="28"/>
        </w:rPr>
        <w:t>Крім того,  за результатами співпраці з БО «БФ «МХП-Громаді» у червні 2025 року розпочата реалізація проєкту «Облаштування сучасного та безпечного ігрового майданчика для дітей» загальною вартістю 496,530 тис</w:t>
      </w:r>
      <w:proofErr w:type="gramStart"/>
      <w:r w:rsidRPr="007C3AD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C3AD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>рн. Він благодійної організації залучено 330,670 тис</w:t>
      </w:r>
      <w:proofErr w:type="gramStart"/>
      <w:r w:rsidRPr="007C3AD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C3AD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 xml:space="preserve">рн, обсяг співфінансування з місцевого бюджету склав 165,860 тис. грн. </w:t>
      </w:r>
    </w:p>
    <w:p w:rsidR="007C3ADA" w:rsidRPr="007C3ADA" w:rsidRDefault="007C3ADA" w:rsidP="009D6EA6">
      <w:pPr>
        <w:tabs>
          <w:tab w:val="left" w:pos="1134"/>
        </w:tabs>
        <w:spacing w:line="360" w:lineRule="auto"/>
        <w:ind w:firstLine="567"/>
        <w:jc w:val="both"/>
        <w:rPr>
          <w:rFonts w:ascii="Times New Roman" w:hAnsi="Times New Roman" w:cs="Times New Roman"/>
        </w:rPr>
      </w:pPr>
    </w:p>
    <w:p w:rsidR="007C3ADA" w:rsidRPr="007C3ADA" w:rsidRDefault="007C3ADA" w:rsidP="009D6EA6">
      <w:pPr>
        <w:tabs>
          <w:tab w:val="left" w:pos="1134"/>
        </w:tabs>
        <w:spacing w:line="360" w:lineRule="auto"/>
        <w:ind w:firstLine="567"/>
        <w:jc w:val="both"/>
        <w:rPr>
          <w:rFonts w:ascii="Times New Roman" w:hAnsi="Times New Roman" w:cs="Times New Roman"/>
        </w:rPr>
      </w:pPr>
    </w:p>
    <w:p w:rsidR="007C3ADA" w:rsidRPr="007C3ADA" w:rsidRDefault="007C3ADA" w:rsidP="009D6EA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3ADA">
        <w:rPr>
          <w:rFonts w:ascii="Times New Roman" w:hAnsi="Times New Roman" w:cs="Times New Roman"/>
          <w:sz w:val="28"/>
          <w:szCs w:val="28"/>
        </w:rPr>
        <w:lastRenderedPageBreak/>
        <w:t xml:space="preserve">У звʼязку з призупиненням </w:t>
      </w:r>
      <w:proofErr w:type="gramStart"/>
      <w:r w:rsidRPr="007C3ADA">
        <w:rPr>
          <w:rFonts w:ascii="Times New Roman" w:hAnsi="Times New Roman" w:cs="Times New Roman"/>
          <w:sz w:val="28"/>
          <w:szCs w:val="28"/>
        </w:rPr>
        <w:t>дії б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>ільшості загальнодержавних і обласних програм щодо можливості реалізації проєктів особливої актуальності набуло питання залучення  інвестицій міжнародних фінансових організацій:</w:t>
      </w:r>
    </w:p>
    <w:p w:rsidR="007C3ADA" w:rsidRPr="007C3ADA" w:rsidRDefault="007C3ADA" w:rsidP="009D6EA6">
      <w:pPr>
        <w:pStyle w:val="ab"/>
        <w:numPr>
          <w:ilvl w:val="0"/>
          <w:numId w:val="4"/>
        </w:numPr>
        <w:tabs>
          <w:tab w:val="left" w:pos="709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3ADA">
        <w:rPr>
          <w:rFonts w:ascii="Times New Roman" w:hAnsi="Times New Roman" w:cs="Times New Roman"/>
          <w:sz w:val="28"/>
          <w:szCs w:val="28"/>
        </w:rPr>
        <w:t xml:space="preserve">Продовжується співпраця з </w:t>
      </w:r>
      <w:proofErr w:type="gramStart"/>
      <w:r w:rsidRPr="007C3AD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>івнічною екологічною фінансовою корпорацією NEFCO:</w:t>
      </w:r>
    </w:p>
    <w:p w:rsidR="007C3ADA" w:rsidRPr="00422749" w:rsidRDefault="007C3ADA" w:rsidP="009D6EA6">
      <w:pPr>
        <w:pStyle w:val="ab"/>
        <w:numPr>
          <w:ilvl w:val="0"/>
          <w:numId w:val="3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7C3ADA">
        <w:rPr>
          <w:rFonts w:ascii="Times New Roman" w:hAnsi="Times New Roman" w:cs="Times New Roman"/>
          <w:sz w:val="28"/>
          <w:szCs w:val="28"/>
        </w:rPr>
        <w:t xml:space="preserve">у 2025 році розпочато реалізацію ІІ черги проєкту </w:t>
      </w:r>
      <w:r w:rsidRPr="007C3AD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«Реконструкція системи водопостачання та водовідведення з впровадженням енергозберігаючих технологій в м</w:t>
      </w:r>
      <w:proofErr w:type="gramStart"/>
      <w:r w:rsidRPr="007C3AD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.Л</w:t>
      </w:r>
      <w:proofErr w:type="gramEnd"/>
      <w:r w:rsidRPr="007C3AD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убни» загальною вартістю </w:t>
      </w:r>
      <w:r w:rsidR="0042274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     </w:t>
      </w:r>
      <w:r w:rsidRPr="0042274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43274,953 тис.грн., реалізація якого здійснюватиметься із залученням грантових коштів </w:t>
      </w:r>
      <w:r w:rsidRPr="007C3ADA">
        <w:rPr>
          <w:rFonts w:ascii="Times New Roman" w:hAnsi="Times New Roman" w:cs="Times New Roman"/>
          <w:sz w:val="28"/>
          <w:szCs w:val="28"/>
        </w:rPr>
        <w:t>NEFCO</w:t>
      </w:r>
      <w:r w:rsidRPr="00422749">
        <w:rPr>
          <w:rFonts w:ascii="Times New Roman" w:hAnsi="Times New Roman" w:cs="Times New Roman"/>
          <w:sz w:val="28"/>
          <w:szCs w:val="28"/>
          <w:lang w:val="uk-UA"/>
        </w:rPr>
        <w:t xml:space="preserve"> у розмірі 520,0 тис. євро</w:t>
      </w:r>
      <w:r w:rsidRPr="0042274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;</w:t>
      </w:r>
    </w:p>
    <w:p w:rsidR="007C3ADA" w:rsidRPr="00422749" w:rsidRDefault="007C3ADA" w:rsidP="009D6EA6">
      <w:pPr>
        <w:pStyle w:val="ab"/>
        <w:numPr>
          <w:ilvl w:val="0"/>
          <w:numId w:val="3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42274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з метою продовження реалізації ІІ черги цього проєкту досягнуто домовленості щодо </w:t>
      </w:r>
      <w:r w:rsidRPr="00422749">
        <w:rPr>
          <w:rFonts w:ascii="Times New Roman" w:hAnsi="Times New Roman" w:cs="Times New Roman"/>
          <w:sz w:val="28"/>
          <w:szCs w:val="28"/>
          <w:lang w:val="uk-UA"/>
        </w:rPr>
        <w:t xml:space="preserve">додаткового виділення грантової допомоги у розмірі </w:t>
      </w:r>
      <w:r w:rsidR="00422749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Pr="00422749">
        <w:rPr>
          <w:rFonts w:ascii="Times New Roman" w:hAnsi="Times New Roman" w:cs="Times New Roman"/>
          <w:sz w:val="28"/>
          <w:szCs w:val="28"/>
          <w:lang w:val="uk-UA"/>
        </w:rPr>
        <w:t>375 802 євро;</w:t>
      </w:r>
    </w:p>
    <w:p w:rsidR="007C3ADA" w:rsidRPr="004C18C1" w:rsidRDefault="007C3ADA" w:rsidP="009D6EA6">
      <w:pPr>
        <w:pStyle w:val="ab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4C18C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підписано та затверджено договір про грант  від 01.04.2025  року  між Північною екологічною фінансовою корпорацією, як розпорядником Фонду Фінансування Сталої Інфраструктури </w:t>
      </w:r>
      <w:r w:rsidRPr="007C3AD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DSIF</w:t>
      </w:r>
      <w:r w:rsidRPr="004C18C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 та Лубенською міською радою щодо реалізації проєкту  «Реконструкція каналізаційних насосних станцій (КНС) та встановлення сонячних електричних панелей (СЕП) в місті Лубни в Україні»  Лубенського району Полтавської області на суму 1690,0 тис. євро.</w:t>
      </w:r>
    </w:p>
    <w:p w:rsidR="007C3ADA" w:rsidRPr="004C18C1" w:rsidRDefault="007C3ADA" w:rsidP="009D6EA6">
      <w:pPr>
        <w:pStyle w:val="ab"/>
        <w:numPr>
          <w:ilvl w:val="0"/>
          <w:numId w:val="4"/>
        </w:numPr>
        <w:tabs>
          <w:tab w:val="left" w:pos="709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18C1">
        <w:rPr>
          <w:rFonts w:ascii="Times New Roman" w:hAnsi="Times New Roman" w:cs="Times New Roman"/>
          <w:sz w:val="28"/>
          <w:szCs w:val="28"/>
          <w:lang w:val="uk-UA"/>
        </w:rPr>
        <w:t>За підтримки Програми розвитку Організацій Обʼєднаних Націй  (ПРООН) у рамках проєкту «</w:t>
      </w:r>
      <w:r w:rsidRPr="007C3ADA">
        <w:rPr>
          <w:rFonts w:ascii="Times New Roman" w:hAnsi="Times New Roman" w:cs="Times New Roman"/>
          <w:sz w:val="28"/>
          <w:szCs w:val="28"/>
        </w:rPr>
        <w:t>EU</w:t>
      </w:r>
      <w:r w:rsidRPr="004C18C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7C3ADA">
        <w:rPr>
          <w:rFonts w:ascii="Times New Roman" w:hAnsi="Times New Roman" w:cs="Times New Roman"/>
          <w:sz w:val="28"/>
          <w:szCs w:val="28"/>
        </w:rPr>
        <w:t>Recovery</w:t>
      </w:r>
      <w:r w:rsidRPr="004C18C1">
        <w:rPr>
          <w:rFonts w:ascii="Times New Roman" w:hAnsi="Times New Roman" w:cs="Times New Roman"/>
          <w:sz w:val="28"/>
          <w:szCs w:val="28"/>
          <w:lang w:val="uk-UA"/>
        </w:rPr>
        <w:t xml:space="preserve"> - Розширення можливостей громад в Україні» отримали фінансування та реалізовані наступні проєкти:</w:t>
      </w:r>
    </w:p>
    <w:p w:rsidR="007C3ADA" w:rsidRPr="007C3ADA" w:rsidRDefault="007C3ADA" w:rsidP="009D6EA6">
      <w:pPr>
        <w:pStyle w:val="ab"/>
        <w:tabs>
          <w:tab w:val="left" w:pos="709"/>
          <w:tab w:val="left" w:pos="1134"/>
        </w:tabs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3ADA">
        <w:rPr>
          <w:rFonts w:ascii="Times New Roman" w:hAnsi="Times New Roman" w:cs="Times New Roman"/>
          <w:sz w:val="28"/>
          <w:szCs w:val="28"/>
        </w:rPr>
        <w:t xml:space="preserve">- проєкт «Облаштування класу безпеки» загальною вартістю </w:t>
      </w:r>
      <w:r w:rsidR="004C18C1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7C3ADA">
        <w:rPr>
          <w:rFonts w:ascii="Times New Roman" w:hAnsi="Times New Roman" w:cs="Times New Roman"/>
          <w:sz w:val="28"/>
          <w:szCs w:val="28"/>
        </w:rPr>
        <w:t>177,891 тис</w:t>
      </w:r>
      <w:proofErr w:type="gramStart"/>
      <w:r w:rsidRPr="007C3ADA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>рн., поданий виконавчим комітетом спільно з Першою гімназію імені Матвія Номиса;</w:t>
      </w:r>
    </w:p>
    <w:p w:rsidR="007C3ADA" w:rsidRPr="007C3ADA" w:rsidRDefault="007C3ADA" w:rsidP="009D6EA6">
      <w:pPr>
        <w:pStyle w:val="ab"/>
        <w:tabs>
          <w:tab w:val="left" w:pos="709"/>
          <w:tab w:val="left" w:pos="1134"/>
        </w:tabs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3ADA">
        <w:rPr>
          <w:rFonts w:ascii="Times New Roman" w:hAnsi="Times New Roman" w:cs="Times New Roman"/>
          <w:sz w:val="28"/>
          <w:szCs w:val="28"/>
        </w:rPr>
        <w:t xml:space="preserve">- проєкт «Поліцейський офіцер громади» загальною вартістю </w:t>
      </w:r>
      <w:r w:rsidR="00422749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7C3ADA">
        <w:rPr>
          <w:rFonts w:ascii="Times New Roman" w:hAnsi="Times New Roman" w:cs="Times New Roman"/>
          <w:sz w:val="28"/>
          <w:szCs w:val="28"/>
        </w:rPr>
        <w:t>292,664  тис</w:t>
      </w:r>
      <w:proofErr w:type="gramStart"/>
      <w:r w:rsidRPr="007C3AD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C3AD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>рн.;</w:t>
      </w:r>
    </w:p>
    <w:p w:rsidR="007C3ADA" w:rsidRPr="007C3ADA" w:rsidRDefault="007C3ADA" w:rsidP="009D6EA6">
      <w:pPr>
        <w:pStyle w:val="ab"/>
        <w:tabs>
          <w:tab w:val="left" w:pos="709"/>
          <w:tab w:val="left" w:pos="1134"/>
        </w:tabs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3ADA">
        <w:rPr>
          <w:rFonts w:ascii="Times New Roman" w:hAnsi="Times New Roman" w:cs="Times New Roman"/>
          <w:sz w:val="28"/>
          <w:szCs w:val="28"/>
        </w:rPr>
        <w:t xml:space="preserve">- проєкт «Створення  ресурсного центру громадської безпеки та </w:t>
      </w:r>
      <w:proofErr w:type="gramStart"/>
      <w:r w:rsidRPr="007C3ADA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>іальної згуртованості» загальною вартістю 340,148  тис. грн.;</w:t>
      </w:r>
    </w:p>
    <w:p w:rsidR="007C3ADA" w:rsidRPr="007C3ADA" w:rsidRDefault="007C3ADA" w:rsidP="009D6EA6">
      <w:pPr>
        <w:pStyle w:val="ab"/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ADA">
        <w:rPr>
          <w:rFonts w:ascii="Times New Roman" w:hAnsi="Times New Roman" w:cs="Times New Roman"/>
          <w:sz w:val="28"/>
          <w:szCs w:val="28"/>
        </w:rPr>
        <w:lastRenderedPageBreak/>
        <w:t xml:space="preserve">- проєкт «Придбання та встановлення вертикального </w:t>
      </w:r>
      <w:proofErr w:type="gramStart"/>
      <w:r w:rsidRPr="007C3AD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>ідйомника для переміщення маломобільних груп населення у адміністративному приміщенні Лубенської міської ради» загальною вартістю 103,909 тис. грн.;</w:t>
      </w:r>
    </w:p>
    <w:p w:rsidR="007C3ADA" w:rsidRPr="007C3ADA" w:rsidRDefault="007C3ADA" w:rsidP="009D6EA6">
      <w:pPr>
        <w:tabs>
          <w:tab w:val="left" w:pos="709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ADA">
        <w:rPr>
          <w:rFonts w:ascii="Times New Roman" w:hAnsi="Times New Roman" w:cs="Times New Roman"/>
          <w:sz w:val="28"/>
          <w:szCs w:val="28"/>
        </w:rPr>
        <w:t>- КП «КНП Лубенський МЦПМСД» отримало автомобіль для виїзду сімейних лікарів вартістю 1695,713 тис</w:t>
      </w:r>
      <w:proofErr w:type="gramStart"/>
      <w:r w:rsidRPr="007C3AD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C3AD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>рн.;</w:t>
      </w:r>
    </w:p>
    <w:p w:rsidR="007C3ADA" w:rsidRPr="007C3ADA" w:rsidRDefault="007C3ADA" w:rsidP="009D6EA6">
      <w:pPr>
        <w:pStyle w:val="ab"/>
        <w:tabs>
          <w:tab w:val="left" w:pos="709"/>
          <w:tab w:val="left" w:pos="1134"/>
        </w:tabs>
        <w:spacing w:line="360" w:lineRule="auto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3ADA">
        <w:rPr>
          <w:rFonts w:ascii="Times New Roman" w:hAnsi="Times New Roman" w:cs="Times New Roman"/>
          <w:color w:val="000000"/>
          <w:sz w:val="28"/>
          <w:szCs w:val="28"/>
        </w:rPr>
        <w:t>3. Українська класична гімназія Лубенської міської ради отримала перемогу у Проєкті «</w:t>
      </w:r>
      <w:proofErr w:type="gramStart"/>
      <w:r w:rsidRPr="007C3ADA">
        <w:rPr>
          <w:rFonts w:ascii="Times New Roman" w:hAnsi="Times New Roman" w:cs="Times New Roman"/>
          <w:color w:val="000000"/>
          <w:sz w:val="28"/>
          <w:szCs w:val="28"/>
        </w:rPr>
        <w:t>Соц</w:t>
      </w:r>
      <w:proofErr w:type="gramEnd"/>
      <w:r w:rsidRPr="007C3ADA">
        <w:rPr>
          <w:rFonts w:ascii="Times New Roman" w:hAnsi="Times New Roman" w:cs="Times New Roman"/>
          <w:color w:val="000000"/>
          <w:sz w:val="28"/>
          <w:szCs w:val="28"/>
        </w:rPr>
        <w:t>іальні учнівські підприємства для підтримки молоді у (пост)воєнній Україні», реалізують StudBizAward 2025 та отримає для реалізації проєкту «Соціальне шкільне підприємство «School Print» 2000 євро;</w:t>
      </w:r>
    </w:p>
    <w:p w:rsidR="007C3ADA" w:rsidRPr="007C3ADA" w:rsidRDefault="007C3ADA" w:rsidP="009D6EA6">
      <w:pPr>
        <w:pStyle w:val="ab"/>
        <w:tabs>
          <w:tab w:val="left" w:pos="709"/>
          <w:tab w:val="left" w:pos="1134"/>
        </w:tabs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3ADA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7C3ADA">
        <w:rPr>
          <w:rFonts w:ascii="Times New Roman" w:hAnsi="Times New Roman" w:cs="Times New Roman"/>
          <w:sz w:val="28"/>
          <w:szCs w:val="28"/>
        </w:rPr>
        <w:t xml:space="preserve">КП «Лубни-водоканал» у І </w:t>
      </w:r>
      <w:proofErr w:type="gramStart"/>
      <w:r w:rsidRPr="007C3AD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 xml:space="preserve">івріччі 2025 року отримало від Представництва Дитячого Фонду ООН (ЮНІСЕФ) обладнання для забезпечення безперебійного доступу до чистої води на загальну суму </w:t>
      </w:r>
      <w:r w:rsidR="004C18C1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Pr="007C3ADA">
        <w:rPr>
          <w:rFonts w:ascii="Times New Roman" w:hAnsi="Times New Roman" w:cs="Times New Roman"/>
          <w:sz w:val="28"/>
          <w:szCs w:val="28"/>
        </w:rPr>
        <w:t>3</w:t>
      </w:r>
      <w:r w:rsidR="004C18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3ADA">
        <w:rPr>
          <w:rFonts w:ascii="Times New Roman" w:hAnsi="Times New Roman" w:cs="Times New Roman"/>
          <w:sz w:val="28"/>
          <w:szCs w:val="28"/>
        </w:rPr>
        <w:t>154,972  тис. грн.;</w:t>
      </w:r>
    </w:p>
    <w:p w:rsidR="007C3ADA" w:rsidRPr="007C3ADA" w:rsidRDefault="007C3ADA" w:rsidP="009D6EA6">
      <w:pPr>
        <w:pStyle w:val="ab"/>
        <w:numPr>
          <w:ilvl w:val="0"/>
          <w:numId w:val="5"/>
        </w:numPr>
        <w:tabs>
          <w:tab w:val="left" w:pos="709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3ADA">
        <w:rPr>
          <w:rFonts w:ascii="Times New Roman" w:hAnsi="Times New Roman" w:cs="Times New Roman"/>
          <w:sz w:val="28"/>
          <w:szCs w:val="28"/>
        </w:rPr>
        <w:t>Триває співпраця з проєктом USAID «ГОВЕРЛА», у результаті якої  у рамках проєкту «Молодіжні ради» Молодіжною радою Лубенської міської ради отримано від Фонду розвитку ГО «Західно-український ресурсний центр» майна та обладнання на суму 81,430 тис</w:t>
      </w:r>
      <w:proofErr w:type="gramStart"/>
      <w:r w:rsidRPr="007C3AD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C3AD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>рн., а також отримано громадо від Громадської спілки «Всеукраїнське громадське обʼєднання «Національна Асамблея людей з інвалідністю України» оргтехніку на суму 51,868 тис</w:t>
      </w:r>
      <w:proofErr w:type="gramStart"/>
      <w:r w:rsidRPr="007C3AD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C3AD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>рн.</w:t>
      </w:r>
    </w:p>
    <w:p w:rsidR="009D6EA6" w:rsidRDefault="007C3ADA" w:rsidP="009D6EA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9D6EA6">
        <w:rPr>
          <w:rFonts w:ascii="Times New Roman" w:hAnsi="Times New Roman" w:cs="Times New Roman"/>
          <w:b/>
          <w:sz w:val="28"/>
          <w:szCs w:val="28"/>
        </w:rPr>
        <w:t>Ц</w:t>
      </w:r>
      <w:proofErr w:type="gramEnd"/>
      <w:r w:rsidRPr="009D6EA6">
        <w:rPr>
          <w:rFonts w:ascii="Times New Roman" w:hAnsi="Times New Roman" w:cs="Times New Roman"/>
          <w:b/>
          <w:sz w:val="28"/>
          <w:szCs w:val="28"/>
        </w:rPr>
        <w:t xml:space="preserve">ілі та пріоритети соціально-економічного розвитку громади </w:t>
      </w:r>
    </w:p>
    <w:p w:rsidR="007C3ADA" w:rsidRPr="009D6EA6" w:rsidRDefault="007C3ADA" w:rsidP="009D6EA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EA6">
        <w:rPr>
          <w:rFonts w:ascii="Times New Roman" w:hAnsi="Times New Roman" w:cs="Times New Roman"/>
          <w:b/>
          <w:sz w:val="28"/>
          <w:szCs w:val="28"/>
        </w:rPr>
        <w:t xml:space="preserve">на середньостроковий період та очікувані результати їх досягнення </w:t>
      </w:r>
      <w:proofErr w:type="gramStart"/>
      <w:r w:rsidRPr="009D6EA6">
        <w:rPr>
          <w:rFonts w:ascii="Times New Roman" w:hAnsi="Times New Roman" w:cs="Times New Roman"/>
          <w:b/>
          <w:sz w:val="28"/>
          <w:szCs w:val="28"/>
        </w:rPr>
        <w:t>до</w:t>
      </w:r>
      <w:proofErr w:type="gramEnd"/>
      <w:r w:rsidRPr="009D6EA6">
        <w:rPr>
          <w:rFonts w:ascii="Times New Roman" w:hAnsi="Times New Roman" w:cs="Times New Roman"/>
          <w:b/>
          <w:sz w:val="28"/>
          <w:szCs w:val="28"/>
        </w:rPr>
        <w:t xml:space="preserve"> кінця 2025 року</w:t>
      </w:r>
    </w:p>
    <w:p w:rsidR="007C3ADA" w:rsidRPr="007C3ADA" w:rsidRDefault="007C3ADA" w:rsidP="009D6EA6">
      <w:pPr>
        <w:tabs>
          <w:tab w:val="left" w:pos="709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3ADA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>ілі та пріоритети соціально-економічного розвитку громади визначені Стратегією розвитку Лубенської територіальної громади на 2024-2027 роки, що затверджена рішенням позачергової тридцять пʼятої сесії Лубенської міської ради восьмого скликання від 16.11.2023 року.</w:t>
      </w:r>
    </w:p>
    <w:p w:rsidR="007C3ADA" w:rsidRPr="007C3ADA" w:rsidRDefault="007C3ADA" w:rsidP="009D6EA6">
      <w:pPr>
        <w:tabs>
          <w:tab w:val="left" w:pos="709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ADA">
        <w:rPr>
          <w:rFonts w:ascii="Times New Roman" w:hAnsi="Times New Roman" w:cs="Times New Roman"/>
          <w:sz w:val="28"/>
          <w:szCs w:val="28"/>
        </w:rPr>
        <w:t xml:space="preserve">Стратегією громади визначено три стратегічні цілі та операційні цілі за </w:t>
      </w:r>
      <w:proofErr w:type="gramStart"/>
      <w:r w:rsidRPr="007C3ADA">
        <w:rPr>
          <w:rFonts w:ascii="Times New Roman" w:hAnsi="Times New Roman" w:cs="Times New Roman"/>
          <w:sz w:val="28"/>
          <w:szCs w:val="28"/>
        </w:rPr>
        <w:t>кожною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 xml:space="preserve"> стратегічною ціллю:</w:t>
      </w:r>
    </w:p>
    <w:p w:rsidR="007C3ADA" w:rsidRPr="007C3ADA" w:rsidRDefault="007C3ADA" w:rsidP="009D6EA6">
      <w:pPr>
        <w:tabs>
          <w:tab w:val="left" w:pos="709"/>
          <w:tab w:val="left" w:pos="1134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C3ADA">
        <w:rPr>
          <w:rFonts w:ascii="Times New Roman" w:hAnsi="Times New Roman" w:cs="Times New Roman"/>
          <w:sz w:val="28"/>
          <w:szCs w:val="28"/>
          <w:u w:val="single"/>
        </w:rPr>
        <w:t xml:space="preserve">Стратегічна ціль А. Громада, дружня </w:t>
      </w:r>
      <w:proofErr w:type="gramStart"/>
      <w:r w:rsidRPr="007C3ADA">
        <w:rPr>
          <w:rFonts w:ascii="Times New Roman" w:hAnsi="Times New Roman" w:cs="Times New Roman"/>
          <w:sz w:val="28"/>
          <w:szCs w:val="28"/>
          <w:u w:val="single"/>
        </w:rPr>
        <w:t>до</w:t>
      </w:r>
      <w:proofErr w:type="gramEnd"/>
      <w:r w:rsidRPr="007C3ADA">
        <w:rPr>
          <w:rFonts w:ascii="Times New Roman" w:hAnsi="Times New Roman" w:cs="Times New Roman"/>
          <w:sz w:val="28"/>
          <w:szCs w:val="28"/>
          <w:u w:val="single"/>
        </w:rPr>
        <w:t xml:space="preserve"> бізнесу</w:t>
      </w:r>
    </w:p>
    <w:p w:rsidR="007C3ADA" w:rsidRPr="007C3ADA" w:rsidRDefault="007C3ADA" w:rsidP="009D6EA6">
      <w:pPr>
        <w:tabs>
          <w:tab w:val="left" w:pos="709"/>
          <w:tab w:val="left" w:pos="1134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3ADA">
        <w:rPr>
          <w:rFonts w:ascii="Times New Roman" w:hAnsi="Times New Roman" w:cs="Times New Roman"/>
          <w:sz w:val="28"/>
          <w:szCs w:val="28"/>
        </w:rPr>
        <w:t>А 1. Потужний промисловий комплекс громади</w:t>
      </w:r>
    </w:p>
    <w:p w:rsidR="007C3ADA" w:rsidRPr="007C3ADA" w:rsidRDefault="007C3ADA" w:rsidP="009D6EA6">
      <w:pPr>
        <w:tabs>
          <w:tab w:val="left" w:pos="709"/>
          <w:tab w:val="left" w:pos="1134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3ADA">
        <w:rPr>
          <w:rFonts w:ascii="Times New Roman" w:hAnsi="Times New Roman" w:cs="Times New Roman"/>
          <w:sz w:val="28"/>
          <w:szCs w:val="28"/>
        </w:rPr>
        <w:lastRenderedPageBreak/>
        <w:t>А 2. Інвестиційно активна громада</w:t>
      </w:r>
    </w:p>
    <w:p w:rsidR="007C3ADA" w:rsidRPr="007C3ADA" w:rsidRDefault="007C3ADA" w:rsidP="009D6EA6">
      <w:pPr>
        <w:tabs>
          <w:tab w:val="left" w:pos="709"/>
          <w:tab w:val="left" w:pos="1134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3ADA">
        <w:rPr>
          <w:rFonts w:ascii="Times New Roman" w:hAnsi="Times New Roman" w:cs="Times New Roman"/>
          <w:sz w:val="28"/>
          <w:szCs w:val="28"/>
        </w:rPr>
        <w:t xml:space="preserve">А 3. Сталий розвиток </w:t>
      </w:r>
      <w:proofErr w:type="gramStart"/>
      <w:r w:rsidRPr="007C3AD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>ідприємництва</w:t>
      </w:r>
    </w:p>
    <w:p w:rsidR="007C3ADA" w:rsidRPr="007C3ADA" w:rsidRDefault="007C3ADA" w:rsidP="009D6EA6">
      <w:pPr>
        <w:tabs>
          <w:tab w:val="left" w:pos="709"/>
          <w:tab w:val="left" w:pos="1134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3ADA">
        <w:rPr>
          <w:rFonts w:ascii="Times New Roman" w:hAnsi="Times New Roman" w:cs="Times New Roman"/>
          <w:sz w:val="28"/>
          <w:szCs w:val="28"/>
        </w:rPr>
        <w:t>А 4. Ефективний аграрний сектор громади</w:t>
      </w:r>
    </w:p>
    <w:p w:rsidR="007C3ADA" w:rsidRPr="007C3ADA" w:rsidRDefault="007C3ADA" w:rsidP="009D6EA6">
      <w:pPr>
        <w:tabs>
          <w:tab w:val="left" w:pos="709"/>
          <w:tab w:val="left" w:pos="1134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C3ADA">
        <w:rPr>
          <w:rFonts w:ascii="Times New Roman" w:hAnsi="Times New Roman" w:cs="Times New Roman"/>
          <w:sz w:val="28"/>
          <w:szCs w:val="28"/>
          <w:u w:val="single"/>
        </w:rPr>
        <w:t>Стратегічна ціль Б. Громада, комфортна для проживання</w:t>
      </w:r>
    </w:p>
    <w:p w:rsidR="007C3ADA" w:rsidRPr="007C3ADA" w:rsidRDefault="007C3ADA" w:rsidP="009D6EA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7C3ADA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 xml:space="preserve"> 1. Розвиток житлово-комунального господарства та інфраструктури</w:t>
      </w:r>
    </w:p>
    <w:p w:rsidR="007C3ADA" w:rsidRPr="007C3ADA" w:rsidRDefault="007C3ADA" w:rsidP="009D6EA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7C3ADA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 xml:space="preserve"> 2. Збереження та зміцнення здоровʼя населення</w:t>
      </w:r>
    </w:p>
    <w:p w:rsidR="007C3ADA" w:rsidRPr="007C3ADA" w:rsidRDefault="007C3ADA" w:rsidP="009D6EA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7C3ADA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 xml:space="preserve"> 3. Створення сучасного освітнього простору громади</w:t>
      </w:r>
    </w:p>
    <w:p w:rsidR="007C3ADA" w:rsidRPr="007C3ADA" w:rsidRDefault="007C3ADA" w:rsidP="009D6EA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7C3ADA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 xml:space="preserve"> 4. Сталий розвиток культури та ефективна реалізація туристичного потенціалу</w:t>
      </w:r>
    </w:p>
    <w:p w:rsidR="007C3ADA" w:rsidRPr="007C3ADA" w:rsidRDefault="007C3ADA" w:rsidP="009D6EA6">
      <w:pPr>
        <w:tabs>
          <w:tab w:val="left" w:pos="709"/>
          <w:tab w:val="left" w:pos="1134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C3ADA">
        <w:rPr>
          <w:rFonts w:ascii="Times New Roman" w:hAnsi="Times New Roman" w:cs="Times New Roman"/>
          <w:sz w:val="28"/>
          <w:szCs w:val="28"/>
          <w:u w:val="single"/>
        </w:rPr>
        <w:t>Стратегічна ціль В. Громада, відкрита для людей</w:t>
      </w:r>
    </w:p>
    <w:p w:rsidR="007C3ADA" w:rsidRPr="007C3ADA" w:rsidRDefault="007C3ADA" w:rsidP="009D6EA6">
      <w:pPr>
        <w:tabs>
          <w:tab w:val="left" w:pos="709"/>
          <w:tab w:val="left" w:pos="1134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3ADA">
        <w:rPr>
          <w:rFonts w:ascii="Times New Roman" w:hAnsi="Times New Roman" w:cs="Times New Roman"/>
          <w:sz w:val="28"/>
          <w:szCs w:val="28"/>
        </w:rPr>
        <w:t xml:space="preserve">В 1. Адаптована система </w:t>
      </w:r>
      <w:proofErr w:type="gramStart"/>
      <w:r w:rsidRPr="007C3ADA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>іального захисту</w:t>
      </w:r>
    </w:p>
    <w:p w:rsidR="007C3ADA" w:rsidRPr="007C3ADA" w:rsidRDefault="007C3ADA" w:rsidP="009D6EA6">
      <w:pPr>
        <w:tabs>
          <w:tab w:val="left" w:pos="709"/>
          <w:tab w:val="left" w:pos="1134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3ADA">
        <w:rPr>
          <w:rFonts w:ascii="Times New Roman" w:hAnsi="Times New Roman" w:cs="Times New Roman"/>
          <w:sz w:val="28"/>
          <w:szCs w:val="28"/>
        </w:rPr>
        <w:t>В 2. Безпечна та доступна громада</w:t>
      </w:r>
    </w:p>
    <w:p w:rsidR="007C3ADA" w:rsidRPr="007C3ADA" w:rsidRDefault="007C3ADA" w:rsidP="009D6EA6">
      <w:pPr>
        <w:tabs>
          <w:tab w:val="left" w:pos="709"/>
          <w:tab w:val="left" w:pos="1134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3ADA">
        <w:rPr>
          <w:rFonts w:ascii="Times New Roman" w:hAnsi="Times New Roman" w:cs="Times New Roman"/>
          <w:sz w:val="28"/>
          <w:szCs w:val="28"/>
        </w:rPr>
        <w:t xml:space="preserve">В 3. </w:t>
      </w:r>
      <w:proofErr w:type="gramStart"/>
      <w:r w:rsidRPr="007C3AD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>ідтримка молодіжних ініціатив у громаді</w:t>
      </w:r>
    </w:p>
    <w:p w:rsidR="007C3ADA" w:rsidRPr="007C3ADA" w:rsidRDefault="007C3ADA" w:rsidP="009D6EA6">
      <w:pPr>
        <w:tabs>
          <w:tab w:val="left" w:pos="709"/>
          <w:tab w:val="left" w:pos="1134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3ADA">
        <w:rPr>
          <w:rFonts w:ascii="Times New Roman" w:hAnsi="Times New Roman" w:cs="Times New Roman"/>
          <w:sz w:val="28"/>
          <w:szCs w:val="28"/>
        </w:rPr>
        <w:t>В 4. Активізація участі громадськості у житті громади</w:t>
      </w:r>
    </w:p>
    <w:p w:rsidR="007C3ADA" w:rsidRPr="007C3ADA" w:rsidRDefault="007C3ADA" w:rsidP="009D6EA6">
      <w:pPr>
        <w:tabs>
          <w:tab w:val="left" w:pos="709"/>
          <w:tab w:val="left" w:pos="1134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3ADA">
        <w:rPr>
          <w:rFonts w:ascii="Times New Roman" w:hAnsi="Times New Roman" w:cs="Times New Roman"/>
          <w:sz w:val="28"/>
          <w:szCs w:val="28"/>
        </w:rPr>
        <w:t>В 5. Вдосконалення системи цифрової інфраструктури</w:t>
      </w:r>
    </w:p>
    <w:p w:rsidR="007C3ADA" w:rsidRPr="007C3ADA" w:rsidRDefault="007C3ADA" w:rsidP="009D6EA6">
      <w:pPr>
        <w:tabs>
          <w:tab w:val="left" w:pos="709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ADA">
        <w:rPr>
          <w:rFonts w:ascii="Times New Roman" w:hAnsi="Times New Roman" w:cs="Times New Roman"/>
          <w:sz w:val="28"/>
          <w:szCs w:val="28"/>
        </w:rPr>
        <w:t>За кожною оперативною ціллю визначено конкретні задання та потенційно можливі сфери реалізації проєкті</w:t>
      </w:r>
      <w:proofErr w:type="gramStart"/>
      <w:r w:rsidRPr="007C3AD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>.</w:t>
      </w:r>
    </w:p>
    <w:p w:rsidR="007C3ADA" w:rsidRPr="007C3ADA" w:rsidRDefault="007C3ADA" w:rsidP="009D6EA6">
      <w:pPr>
        <w:tabs>
          <w:tab w:val="left" w:pos="709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ADA">
        <w:rPr>
          <w:rFonts w:ascii="Times New Roman" w:hAnsi="Times New Roman" w:cs="Times New Roman"/>
          <w:sz w:val="28"/>
          <w:szCs w:val="28"/>
        </w:rPr>
        <w:t xml:space="preserve">Крім того, на позачерговій тридцять </w:t>
      </w:r>
      <w:proofErr w:type="gramStart"/>
      <w:r w:rsidRPr="007C3AD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C3ADA">
        <w:rPr>
          <w:rFonts w:ascii="Times New Roman" w:hAnsi="Times New Roman" w:cs="Times New Roman"/>
          <w:sz w:val="28"/>
          <w:szCs w:val="28"/>
        </w:rPr>
        <w:t>ʼятій сесії Лубенської міської ради восьмого скликання від 16.11.2023 року затверджено План заходів з реалізації Стратегії розвитку Лубенської територіальної громади на 2024-2027 роки з переліком проєктів/заходів місцевого розвитку, періодом реалізації, орієнтовною вартістю, джерелами фінансування, виконавцями та індикаторами (показниками) результативності.</w:t>
      </w:r>
    </w:p>
    <w:p w:rsidR="007C3ADA" w:rsidRPr="007C3ADA" w:rsidRDefault="007C3ADA" w:rsidP="009D6EA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3ADA">
        <w:rPr>
          <w:rFonts w:ascii="Times New Roman" w:hAnsi="Times New Roman" w:cs="Times New Roman"/>
          <w:color w:val="000000"/>
          <w:sz w:val="28"/>
          <w:szCs w:val="28"/>
        </w:rPr>
        <w:t xml:space="preserve">У рамках реалізації стратегії щорічно здійснюється моніторинг досягнення цілей, що проводиться з метою відстеження та аналізу динаміки і структурних змін, які відбуваються у громаді відповідно до стратегічних, оперативних цілей та завдань, визначених </w:t>
      </w:r>
      <w:proofErr w:type="gramStart"/>
      <w:r w:rsidRPr="007C3ADA">
        <w:rPr>
          <w:rFonts w:ascii="Times New Roman" w:hAnsi="Times New Roman" w:cs="Times New Roman"/>
          <w:color w:val="000000"/>
          <w:sz w:val="28"/>
          <w:szCs w:val="28"/>
        </w:rPr>
        <w:t>у</w:t>
      </w:r>
      <w:proofErr w:type="gramEnd"/>
      <w:r w:rsidRPr="007C3ADA">
        <w:rPr>
          <w:rFonts w:ascii="Times New Roman" w:hAnsi="Times New Roman" w:cs="Times New Roman"/>
          <w:color w:val="000000"/>
          <w:sz w:val="28"/>
          <w:szCs w:val="28"/>
        </w:rPr>
        <w:t xml:space="preserve"> Стратегії. </w:t>
      </w:r>
    </w:p>
    <w:p w:rsidR="007C3ADA" w:rsidRPr="007C3ADA" w:rsidRDefault="007C3ADA" w:rsidP="009D6EA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C3ADA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7C3ADA">
        <w:rPr>
          <w:rFonts w:ascii="Times New Roman" w:hAnsi="Times New Roman" w:cs="Times New Roman"/>
          <w:color w:val="000000"/>
          <w:sz w:val="28"/>
          <w:szCs w:val="28"/>
        </w:rPr>
        <w:t xml:space="preserve">ічний звіт є відкритим документом, який оприлюднюється на офіційному сайті Лубенської міської ради. Моніторинговий </w:t>
      </w:r>
      <w:proofErr w:type="gramStart"/>
      <w:r w:rsidRPr="007C3ADA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7C3ADA">
        <w:rPr>
          <w:rFonts w:ascii="Times New Roman" w:hAnsi="Times New Roman" w:cs="Times New Roman"/>
          <w:color w:val="000000"/>
          <w:sz w:val="28"/>
          <w:szCs w:val="28"/>
        </w:rPr>
        <w:t xml:space="preserve">ічний звіт використовується </w:t>
      </w:r>
      <w:r w:rsidRPr="007C3ADA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для уточнення завдань та бюджетних програм громади на наступний за звітним бюджетний рік.</w:t>
      </w:r>
    </w:p>
    <w:p w:rsidR="007C3ADA" w:rsidRPr="007C3ADA" w:rsidRDefault="007C3ADA" w:rsidP="007C3ADA">
      <w:pPr>
        <w:tabs>
          <w:tab w:val="left" w:pos="709"/>
          <w:tab w:val="left" w:pos="1134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7C3ADA">
        <w:rPr>
          <w:rFonts w:ascii="Times New Roman" w:hAnsi="Times New Roman" w:cs="Times New Roman"/>
          <w:b/>
          <w:sz w:val="28"/>
          <w:szCs w:val="28"/>
        </w:rPr>
        <w:t xml:space="preserve">Основні прогнозні показники економічного і </w:t>
      </w:r>
      <w:proofErr w:type="gramStart"/>
      <w:r w:rsidRPr="007C3ADA">
        <w:rPr>
          <w:rFonts w:ascii="Times New Roman" w:hAnsi="Times New Roman" w:cs="Times New Roman"/>
          <w:b/>
          <w:sz w:val="28"/>
          <w:szCs w:val="28"/>
        </w:rPr>
        <w:t>соц</w:t>
      </w:r>
      <w:proofErr w:type="gramEnd"/>
      <w:r w:rsidRPr="007C3ADA">
        <w:rPr>
          <w:rFonts w:ascii="Times New Roman" w:hAnsi="Times New Roman" w:cs="Times New Roman"/>
          <w:b/>
          <w:sz w:val="28"/>
          <w:szCs w:val="28"/>
        </w:rPr>
        <w:t>іального розвитку Лубенської територіальної громади:</w:t>
      </w:r>
    </w:p>
    <w:tbl>
      <w:tblPr>
        <w:tblStyle w:val="a4"/>
        <w:tblW w:w="8711" w:type="dxa"/>
        <w:tblLook w:val="04A0"/>
      </w:tblPr>
      <w:tblGrid>
        <w:gridCol w:w="2830"/>
        <w:gridCol w:w="1559"/>
        <w:gridCol w:w="1559"/>
        <w:gridCol w:w="1418"/>
        <w:gridCol w:w="1345"/>
      </w:tblGrid>
      <w:tr w:rsidR="007C3ADA" w:rsidRPr="007C3ADA" w:rsidTr="007C3ADA">
        <w:tc>
          <w:tcPr>
            <w:tcW w:w="2830" w:type="dxa"/>
          </w:tcPr>
          <w:p w:rsidR="007C3ADA" w:rsidRPr="007C3ADA" w:rsidRDefault="007C3ADA" w:rsidP="007C3ADA">
            <w:pPr>
              <w:tabs>
                <w:tab w:val="left" w:pos="709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ADA">
              <w:rPr>
                <w:rFonts w:ascii="Times New Roman" w:hAnsi="Times New Roman" w:cs="Times New Roman"/>
                <w:sz w:val="24"/>
                <w:szCs w:val="24"/>
              </w:rPr>
              <w:t>Найменування показника, одиниця виміру</w:t>
            </w:r>
          </w:p>
        </w:tc>
        <w:tc>
          <w:tcPr>
            <w:tcW w:w="1559" w:type="dxa"/>
          </w:tcPr>
          <w:p w:rsidR="007C3ADA" w:rsidRPr="007C3ADA" w:rsidRDefault="007C3ADA" w:rsidP="007C3ADA">
            <w:pPr>
              <w:tabs>
                <w:tab w:val="left" w:pos="709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ADA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proofErr w:type="gramStart"/>
            <w:r w:rsidRPr="007C3AD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C3ADA">
              <w:rPr>
                <w:rFonts w:ascii="Times New Roman" w:hAnsi="Times New Roman" w:cs="Times New Roman"/>
                <w:sz w:val="24"/>
                <w:szCs w:val="24"/>
              </w:rPr>
              <w:t>ік (очікуване)</w:t>
            </w:r>
          </w:p>
        </w:tc>
        <w:tc>
          <w:tcPr>
            <w:tcW w:w="1559" w:type="dxa"/>
          </w:tcPr>
          <w:p w:rsidR="007C3ADA" w:rsidRPr="007C3ADA" w:rsidRDefault="007C3ADA" w:rsidP="007C3ADA">
            <w:pPr>
              <w:tabs>
                <w:tab w:val="left" w:pos="709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ADA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  <w:proofErr w:type="gramStart"/>
            <w:r w:rsidRPr="007C3AD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C3ADA">
              <w:rPr>
                <w:rFonts w:ascii="Times New Roman" w:hAnsi="Times New Roman" w:cs="Times New Roman"/>
                <w:sz w:val="24"/>
                <w:szCs w:val="24"/>
              </w:rPr>
              <w:t>ік (прогноз)</w:t>
            </w:r>
          </w:p>
        </w:tc>
        <w:tc>
          <w:tcPr>
            <w:tcW w:w="1418" w:type="dxa"/>
          </w:tcPr>
          <w:p w:rsidR="007C3ADA" w:rsidRPr="007C3ADA" w:rsidRDefault="007C3ADA" w:rsidP="007C3ADA">
            <w:pPr>
              <w:tabs>
                <w:tab w:val="left" w:pos="709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ADA">
              <w:rPr>
                <w:rFonts w:ascii="Times New Roman" w:hAnsi="Times New Roman" w:cs="Times New Roman"/>
                <w:sz w:val="24"/>
                <w:szCs w:val="24"/>
              </w:rPr>
              <w:t xml:space="preserve">2027 </w:t>
            </w:r>
            <w:proofErr w:type="gramStart"/>
            <w:r w:rsidRPr="007C3AD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C3ADA">
              <w:rPr>
                <w:rFonts w:ascii="Times New Roman" w:hAnsi="Times New Roman" w:cs="Times New Roman"/>
                <w:sz w:val="24"/>
                <w:szCs w:val="24"/>
              </w:rPr>
              <w:t>ік (прогноз)</w:t>
            </w:r>
          </w:p>
        </w:tc>
        <w:tc>
          <w:tcPr>
            <w:tcW w:w="1345" w:type="dxa"/>
          </w:tcPr>
          <w:p w:rsidR="007C3ADA" w:rsidRPr="007C3ADA" w:rsidRDefault="007C3ADA" w:rsidP="007C3ADA">
            <w:pPr>
              <w:tabs>
                <w:tab w:val="left" w:pos="709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ADA">
              <w:rPr>
                <w:rFonts w:ascii="Times New Roman" w:hAnsi="Times New Roman" w:cs="Times New Roman"/>
                <w:sz w:val="24"/>
                <w:szCs w:val="24"/>
              </w:rPr>
              <w:t xml:space="preserve">2028 </w:t>
            </w:r>
            <w:proofErr w:type="gramStart"/>
            <w:r w:rsidRPr="007C3AD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C3ADA">
              <w:rPr>
                <w:rFonts w:ascii="Times New Roman" w:hAnsi="Times New Roman" w:cs="Times New Roman"/>
                <w:sz w:val="24"/>
                <w:szCs w:val="24"/>
              </w:rPr>
              <w:t>ік (прогноз)</w:t>
            </w:r>
          </w:p>
        </w:tc>
      </w:tr>
      <w:tr w:rsidR="007C3ADA" w:rsidRPr="007C3ADA" w:rsidTr="007C3ADA">
        <w:tc>
          <w:tcPr>
            <w:tcW w:w="2830" w:type="dxa"/>
          </w:tcPr>
          <w:p w:rsidR="007C3ADA" w:rsidRPr="007C3ADA" w:rsidRDefault="007C3ADA" w:rsidP="007C3ADA">
            <w:pPr>
              <w:tabs>
                <w:tab w:val="left" w:pos="709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C3ADA">
              <w:rPr>
                <w:rFonts w:ascii="Times New Roman" w:hAnsi="Times New Roman" w:cs="Times New Roman"/>
                <w:sz w:val="24"/>
                <w:szCs w:val="24"/>
              </w:rPr>
              <w:t>Обсяг реалізованої промислової продукції (товарів, послуг) без  ПДВ, млн. грн.</w:t>
            </w:r>
          </w:p>
        </w:tc>
        <w:tc>
          <w:tcPr>
            <w:tcW w:w="1559" w:type="dxa"/>
          </w:tcPr>
          <w:p w:rsidR="007C3ADA" w:rsidRPr="007C3ADA" w:rsidRDefault="007C3ADA" w:rsidP="009D6EA6">
            <w:pPr>
              <w:tabs>
                <w:tab w:val="left" w:pos="709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ADA">
              <w:rPr>
                <w:rFonts w:ascii="Times New Roman" w:hAnsi="Times New Roman" w:cs="Times New Roman"/>
                <w:sz w:val="24"/>
                <w:szCs w:val="24"/>
              </w:rPr>
              <w:t>4100,0</w:t>
            </w:r>
          </w:p>
        </w:tc>
        <w:tc>
          <w:tcPr>
            <w:tcW w:w="1559" w:type="dxa"/>
          </w:tcPr>
          <w:p w:rsidR="007C3ADA" w:rsidRPr="007C3ADA" w:rsidRDefault="007C3ADA" w:rsidP="009D6EA6">
            <w:pPr>
              <w:tabs>
                <w:tab w:val="left" w:pos="709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ADA">
              <w:rPr>
                <w:rFonts w:ascii="Times New Roman" w:hAnsi="Times New Roman" w:cs="Times New Roman"/>
                <w:sz w:val="24"/>
                <w:szCs w:val="24"/>
              </w:rPr>
              <w:t>4400,0</w:t>
            </w:r>
          </w:p>
        </w:tc>
        <w:tc>
          <w:tcPr>
            <w:tcW w:w="1418" w:type="dxa"/>
          </w:tcPr>
          <w:p w:rsidR="007C3ADA" w:rsidRPr="007C3ADA" w:rsidRDefault="007C3ADA" w:rsidP="009D6EA6">
            <w:pPr>
              <w:tabs>
                <w:tab w:val="left" w:pos="709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ADA">
              <w:rPr>
                <w:rFonts w:ascii="Times New Roman" w:hAnsi="Times New Roman" w:cs="Times New Roman"/>
                <w:sz w:val="24"/>
                <w:szCs w:val="24"/>
              </w:rPr>
              <w:t>4700,0</w:t>
            </w:r>
          </w:p>
        </w:tc>
        <w:tc>
          <w:tcPr>
            <w:tcW w:w="1345" w:type="dxa"/>
          </w:tcPr>
          <w:p w:rsidR="007C3ADA" w:rsidRPr="007C3ADA" w:rsidRDefault="007C3ADA" w:rsidP="009D6EA6">
            <w:pPr>
              <w:tabs>
                <w:tab w:val="left" w:pos="709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ADA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</w:tr>
      <w:tr w:rsidR="007C3ADA" w:rsidRPr="007C3ADA" w:rsidTr="007C3ADA">
        <w:tc>
          <w:tcPr>
            <w:tcW w:w="2830" w:type="dxa"/>
          </w:tcPr>
          <w:p w:rsidR="007C3ADA" w:rsidRPr="007C3ADA" w:rsidRDefault="007C3ADA" w:rsidP="007C3ADA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ADA">
              <w:rPr>
                <w:rFonts w:ascii="Times New Roman" w:hAnsi="Times New Roman" w:cs="Times New Roman"/>
                <w:sz w:val="24"/>
                <w:szCs w:val="24"/>
              </w:rPr>
              <w:t>Середньомісячна заробітна плата, грн.</w:t>
            </w:r>
          </w:p>
        </w:tc>
        <w:tc>
          <w:tcPr>
            <w:tcW w:w="1559" w:type="dxa"/>
          </w:tcPr>
          <w:p w:rsidR="007C3ADA" w:rsidRPr="007C3ADA" w:rsidRDefault="007C3ADA" w:rsidP="009D6EA6">
            <w:pPr>
              <w:tabs>
                <w:tab w:val="left" w:pos="709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ADA">
              <w:rPr>
                <w:rFonts w:ascii="Times New Roman" w:hAnsi="Times New Roman" w:cs="Times New Roman"/>
                <w:sz w:val="24"/>
                <w:szCs w:val="24"/>
              </w:rPr>
              <w:t>18800,0</w:t>
            </w:r>
          </w:p>
        </w:tc>
        <w:tc>
          <w:tcPr>
            <w:tcW w:w="1559" w:type="dxa"/>
          </w:tcPr>
          <w:p w:rsidR="007C3ADA" w:rsidRPr="007C3ADA" w:rsidRDefault="007C3ADA" w:rsidP="009D6EA6">
            <w:pPr>
              <w:tabs>
                <w:tab w:val="left" w:pos="709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ADA">
              <w:rPr>
                <w:rFonts w:ascii="Times New Roman" w:hAnsi="Times New Roman" w:cs="Times New Roman"/>
                <w:sz w:val="24"/>
                <w:szCs w:val="24"/>
              </w:rPr>
              <w:t>21100,0</w:t>
            </w:r>
          </w:p>
        </w:tc>
        <w:tc>
          <w:tcPr>
            <w:tcW w:w="1418" w:type="dxa"/>
          </w:tcPr>
          <w:p w:rsidR="007C3ADA" w:rsidRPr="007C3ADA" w:rsidRDefault="007C3ADA" w:rsidP="009D6EA6">
            <w:pPr>
              <w:tabs>
                <w:tab w:val="left" w:pos="709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ADA">
              <w:rPr>
                <w:rFonts w:ascii="Times New Roman" w:hAnsi="Times New Roman" w:cs="Times New Roman"/>
                <w:sz w:val="24"/>
                <w:szCs w:val="24"/>
              </w:rPr>
              <w:t>22800,0</w:t>
            </w:r>
          </w:p>
        </w:tc>
        <w:tc>
          <w:tcPr>
            <w:tcW w:w="1345" w:type="dxa"/>
          </w:tcPr>
          <w:p w:rsidR="007C3ADA" w:rsidRPr="007C3ADA" w:rsidRDefault="007C3ADA" w:rsidP="009D6EA6">
            <w:pPr>
              <w:tabs>
                <w:tab w:val="left" w:pos="709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ADA">
              <w:rPr>
                <w:rFonts w:ascii="Times New Roman" w:hAnsi="Times New Roman" w:cs="Times New Roman"/>
                <w:sz w:val="24"/>
                <w:szCs w:val="24"/>
              </w:rPr>
              <w:t>24600,0</w:t>
            </w:r>
          </w:p>
        </w:tc>
      </w:tr>
      <w:tr w:rsidR="007C3ADA" w:rsidRPr="007C3ADA" w:rsidTr="007C3ADA">
        <w:tc>
          <w:tcPr>
            <w:tcW w:w="2830" w:type="dxa"/>
          </w:tcPr>
          <w:p w:rsidR="007C3ADA" w:rsidRPr="007C3ADA" w:rsidRDefault="007C3ADA" w:rsidP="007C3ADA">
            <w:pPr>
              <w:tabs>
                <w:tab w:val="left" w:pos="709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C3ADA">
              <w:rPr>
                <w:rFonts w:ascii="Times New Roman" w:hAnsi="Times New Roman" w:cs="Times New Roman"/>
                <w:sz w:val="24"/>
                <w:szCs w:val="24"/>
              </w:rPr>
              <w:t xml:space="preserve">Чисельність наявного населення, </w:t>
            </w:r>
            <w:proofErr w:type="gramStart"/>
            <w:r w:rsidRPr="007C3ADA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gramEnd"/>
          </w:p>
        </w:tc>
        <w:tc>
          <w:tcPr>
            <w:tcW w:w="1559" w:type="dxa"/>
          </w:tcPr>
          <w:p w:rsidR="007C3ADA" w:rsidRPr="007C4192" w:rsidRDefault="007C4192" w:rsidP="009D6EA6">
            <w:pPr>
              <w:tabs>
                <w:tab w:val="left" w:pos="709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64184</w:t>
            </w:r>
          </w:p>
        </w:tc>
        <w:tc>
          <w:tcPr>
            <w:tcW w:w="1559" w:type="dxa"/>
          </w:tcPr>
          <w:p w:rsidR="007C3ADA" w:rsidRPr="007C4192" w:rsidRDefault="007C4192" w:rsidP="009D6EA6">
            <w:pPr>
              <w:tabs>
                <w:tab w:val="left" w:pos="709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65000</w:t>
            </w:r>
          </w:p>
        </w:tc>
        <w:tc>
          <w:tcPr>
            <w:tcW w:w="1418" w:type="dxa"/>
          </w:tcPr>
          <w:p w:rsidR="007C3ADA" w:rsidRPr="007C4192" w:rsidRDefault="007C4192" w:rsidP="009D6EA6">
            <w:pPr>
              <w:tabs>
                <w:tab w:val="left" w:pos="709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66000</w:t>
            </w:r>
          </w:p>
        </w:tc>
        <w:tc>
          <w:tcPr>
            <w:tcW w:w="1345" w:type="dxa"/>
          </w:tcPr>
          <w:p w:rsidR="007C3ADA" w:rsidRPr="007C4192" w:rsidRDefault="007C4192" w:rsidP="009D6EA6">
            <w:pPr>
              <w:tabs>
                <w:tab w:val="left" w:pos="709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68000</w:t>
            </w:r>
          </w:p>
        </w:tc>
      </w:tr>
      <w:tr w:rsidR="007C3ADA" w:rsidRPr="006E1248" w:rsidTr="007C3ADA">
        <w:trPr>
          <w:trHeight w:val="800"/>
        </w:trPr>
        <w:tc>
          <w:tcPr>
            <w:tcW w:w="2830" w:type="dxa"/>
          </w:tcPr>
          <w:p w:rsidR="007C3ADA" w:rsidRPr="0028793B" w:rsidRDefault="007C3ADA" w:rsidP="007C3AD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793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Індекс споживчих цін, відсотки:</w:t>
            </w:r>
          </w:p>
          <w:p w:rsidR="007C3ADA" w:rsidRPr="009B52A7" w:rsidRDefault="007C3ADA" w:rsidP="007C3AD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52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середньому до попереднього року</w:t>
            </w:r>
          </w:p>
        </w:tc>
        <w:tc>
          <w:tcPr>
            <w:tcW w:w="1559" w:type="dxa"/>
          </w:tcPr>
          <w:p w:rsidR="007C3ADA" w:rsidRPr="009B52A7" w:rsidRDefault="007C3ADA" w:rsidP="007C3A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52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112,2</w:t>
            </w:r>
          </w:p>
        </w:tc>
        <w:tc>
          <w:tcPr>
            <w:tcW w:w="1559" w:type="dxa"/>
          </w:tcPr>
          <w:p w:rsidR="007C3ADA" w:rsidRPr="009B52A7" w:rsidRDefault="007C3ADA" w:rsidP="007C3A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52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109,7</w:t>
            </w:r>
          </w:p>
        </w:tc>
        <w:tc>
          <w:tcPr>
            <w:tcW w:w="1418" w:type="dxa"/>
          </w:tcPr>
          <w:p w:rsidR="007C3ADA" w:rsidRPr="009B52A7" w:rsidRDefault="007C3ADA" w:rsidP="007C3A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52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107,1</w:t>
            </w:r>
          </w:p>
        </w:tc>
        <w:tc>
          <w:tcPr>
            <w:tcW w:w="1345" w:type="dxa"/>
          </w:tcPr>
          <w:p w:rsidR="007C3ADA" w:rsidRPr="009B52A7" w:rsidRDefault="007C3ADA" w:rsidP="007C3A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52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105,6</w:t>
            </w:r>
          </w:p>
        </w:tc>
      </w:tr>
      <w:tr w:rsidR="007C3ADA" w:rsidRPr="006E1248" w:rsidTr="007C3ADA">
        <w:trPr>
          <w:trHeight w:val="583"/>
        </w:trPr>
        <w:tc>
          <w:tcPr>
            <w:tcW w:w="2830" w:type="dxa"/>
          </w:tcPr>
          <w:p w:rsidR="007C3ADA" w:rsidRPr="009B52A7" w:rsidRDefault="007C3ADA" w:rsidP="007C3AD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52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грудень до грудня попереднього року</w:t>
            </w:r>
          </w:p>
        </w:tc>
        <w:tc>
          <w:tcPr>
            <w:tcW w:w="1559" w:type="dxa"/>
          </w:tcPr>
          <w:p w:rsidR="007C3ADA" w:rsidRPr="009B52A7" w:rsidRDefault="007C3ADA" w:rsidP="007C3A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52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109,5</w:t>
            </w:r>
          </w:p>
        </w:tc>
        <w:tc>
          <w:tcPr>
            <w:tcW w:w="1559" w:type="dxa"/>
          </w:tcPr>
          <w:p w:rsidR="007C3ADA" w:rsidRPr="009B52A7" w:rsidRDefault="007C3ADA" w:rsidP="007C3A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52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108,6</w:t>
            </w:r>
          </w:p>
        </w:tc>
        <w:tc>
          <w:tcPr>
            <w:tcW w:w="1418" w:type="dxa"/>
          </w:tcPr>
          <w:p w:rsidR="007C3ADA" w:rsidRPr="009B52A7" w:rsidRDefault="007C3ADA" w:rsidP="007C3A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52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105,9</w:t>
            </w:r>
          </w:p>
        </w:tc>
        <w:tc>
          <w:tcPr>
            <w:tcW w:w="1345" w:type="dxa"/>
          </w:tcPr>
          <w:p w:rsidR="007C3ADA" w:rsidRPr="009B52A7" w:rsidRDefault="007C3ADA" w:rsidP="007C3A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52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105,3</w:t>
            </w:r>
          </w:p>
        </w:tc>
      </w:tr>
      <w:tr w:rsidR="007C3ADA" w:rsidRPr="006E1248" w:rsidTr="007C3ADA">
        <w:trPr>
          <w:trHeight w:val="823"/>
        </w:trPr>
        <w:tc>
          <w:tcPr>
            <w:tcW w:w="2830" w:type="dxa"/>
          </w:tcPr>
          <w:p w:rsidR="007C3ADA" w:rsidRPr="0028793B" w:rsidRDefault="007C3ADA" w:rsidP="007C3AD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793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Індекс цін виробників, відсотки:</w:t>
            </w:r>
          </w:p>
          <w:p w:rsidR="007C3ADA" w:rsidRPr="009B52A7" w:rsidRDefault="007C3ADA" w:rsidP="007C3AD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52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середньому до попереднього року  </w:t>
            </w:r>
          </w:p>
        </w:tc>
        <w:tc>
          <w:tcPr>
            <w:tcW w:w="1559" w:type="dxa"/>
          </w:tcPr>
          <w:p w:rsidR="007C3ADA" w:rsidRPr="009B52A7" w:rsidRDefault="007C3ADA" w:rsidP="007C3A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52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126,2</w:t>
            </w:r>
          </w:p>
        </w:tc>
        <w:tc>
          <w:tcPr>
            <w:tcW w:w="1559" w:type="dxa"/>
          </w:tcPr>
          <w:p w:rsidR="007C3ADA" w:rsidRPr="009B52A7" w:rsidRDefault="007C3ADA" w:rsidP="007C3A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52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112,6</w:t>
            </w:r>
          </w:p>
        </w:tc>
        <w:tc>
          <w:tcPr>
            <w:tcW w:w="1418" w:type="dxa"/>
          </w:tcPr>
          <w:p w:rsidR="007C3ADA" w:rsidRPr="009B52A7" w:rsidRDefault="007C3ADA" w:rsidP="007C3A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52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109,8</w:t>
            </w:r>
          </w:p>
        </w:tc>
        <w:tc>
          <w:tcPr>
            <w:tcW w:w="1345" w:type="dxa"/>
          </w:tcPr>
          <w:p w:rsidR="007C3ADA" w:rsidRPr="009B52A7" w:rsidRDefault="007C3ADA" w:rsidP="007C3A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52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108,0</w:t>
            </w:r>
          </w:p>
        </w:tc>
      </w:tr>
      <w:tr w:rsidR="007C3ADA" w:rsidRPr="006E1248" w:rsidTr="007C3ADA">
        <w:trPr>
          <w:trHeight w:val="560"/>
        </w:trPr>
        <w:tc>
          <w:tcPr>
            <w:tcW w:w="2830" w:type="dxa"/>
          </w:tcPr>
          <w:p w:rsidR="007C3ADA" w:rsidRPr="009B52A7" w:rsidRDefault="007C3ADA" w:rsidP="007C3AD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52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грудень до грудня попереднього року </w:t>
            </w:r>
          </w:p>
        </w:tc>
        <w:tc>
          <w:tcPr>
            <w:tcW w:w="1559" w:type="dxa"/>
          </w:tcPr>
          <w:p w:rsidR="007C3ADA" w:rsidRPr="009B52A7" w:rsidRDefault="007C3ADA" w:rsidP="007C3A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52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114,2</w:t>
            </w:r>
          </w:p>
        </w:tc>
        <w:tc>
          <w:tcPr>
            <w:tcW w:w="1559" w:type="dxa"/>
          </w:tcPr>
          <w:p w:rsidR="007C3ADA" w:rsidRPr="009B52A7" w:rsidRDefault="007C3ADA" w:rsidP="007C3A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52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111,3</w:t>
            </w:r>
          </w:p>
        </w:tc>
        <w:tc>
          <w:tcPr>
            <w:tcW w:w="1418" w:type="dxa"/>
          </w:tcPr>
          <w:p w:rsidR="007C3ADA" w:rsidRPr="009B52A7" w:rsidRDefault="007C3ADA" w:rsidP="007C3A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52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109,4</w:t>
            </w:r>
          </w:p>
        </w:tc>
        <w:tc>
          <w:tcPr>
            <w:tcW w:w="1345" w:type="dxa"/>
          </w:tcPr>
          <w:p w:rsidR="007C3ADA" w:rsidRPr="009B52A7" w:rsidRDefault="007C3ADA" w:rsidP="007C3A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52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107,9</w:t>
            </w:r>
          </w:p>
        </w:tc>
      </w:tr>
      <w:tr w:rsidR="007C3ADA" w:rsidRPr="006E1248" w:rsidTr="007C3ADA">
        <w:trPr>
          <w:trHeight w:val="845"/>
        </w:trPr>
        <w:tc>
          <w:tcPr>
            <w:tcW w:w="2830" w:type="dxa"/>
          </w:tcPr>
          <w:p w:rsidR="007C3ADA" w:rsidRPr="009B52A7" w:rsidRDefault="007C3ADA" w:rsidP="007C3ADA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9B52A7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Припущення пронозу:</w:t>
            </w:r>
          </w:p>
          <w:p w:rsidR="007C3ADA" w:rsidRPr="0028793B" w:rsidRDefault="007C3ADA" w:rsidP="007C3AD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793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Обмінний курс гривні до долара США,</w:t>
            </w:r>
          </w:p>
          <w:p w:rsidR="007C3ADA" w:rsidRPr="009B52A7" w:rsidRDefault="007C3ADA" w:rsidP="007C3AD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52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гривень за долар США в середньому за період</w:t>
            </w:r>
          </w:p>
        </w:tc>
        <w:tc>
          <w:tcPr>
            <w:tcW w:w="1559" w:type="dxa"/>
          </w:tcPr>
          <w:p w:rsidR="007C3ADA" w:rsidRPr="009B52A7" w:rsidRDefault="007C3ADA" w:rsidP="007C3A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52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43,3</w:t>
            </w:r>
          </w:p>
        </w:tc>
        <w:tc>
          <w:tcPr>
            <w:tcW w:w="1559" w:type="dxa"/>
          </w:tcPr>
          <w:p w:rsidR="007C3ADA" w:rsidRPr="009B52A7" w:rsidRDefault="007C3ADA" w:rsidP="007C3A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52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44,7</w:t>
            </w:r>
          </w:p>
        </w:tc>
        <w:tc>
          <w:tcPr>
            <w:tcW w:w="1418" w:type="dxa"/>
          </w:tcPr>
          <w:p w:rsidR="007C3ADA" w:rsidRPr="009B52A7" w:rsidRDefault="007C3ADA" w:rsidP="007C3A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52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45,2</w:t>
            </w:r>
          </w:p>
        </w:tc>
        <w:tc>
          <w:tcPr>
            <w:tcW w:w="1345" w:type="dxa"/>
          </w:tcPr>
          <w:p w:rsidR="007C3ADA" w:rsidRPr="009B52A7" w:rsidRDefault="007C3ADA" w:rsidP="007C3A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52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45,6</w:t>
            </w:r>
          </w:p>
        </w:tc>
      </w:tr>
      <w:tr w:rsidR="007C3ADA" w:rsidRPr="006E1248" w:rsidTr="007C3ADA">
        <w:trPr>
          <w:trHeight w:val="469"/>
        </w:trPr>
        <w:tc>
          <w:tcPr>
            <w:tcW w:w="2830" w:type="dxa"/>
          </w:tcPr>
          <w:p w:rsidR="007C3ADA" w:rsidRPr="009B52A7" w:rsidRDefault="007C3ADA" w:rsidP="007C3AD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52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кінець періоду</w:t>
            </w:r>
          </w:p>
        </w:tc>
        <w:tc>
          <w:tcPr>
            <w:tcW w:w="1559" w:type="dxa"/>
          </w:tcPr>
          <w:p w:rsidR="007C3ADA" w:rsidRPr="009B52A7" w:rsidRDefault="007C3ADA" w:rsidP="007C3A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52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43,7</w:t>
            </w:r>
          </w:p>
        </w:tc>
        <w:tc>
          <w:tcPr>
            <w:tcW w:w="1559" w:type="dxa"/>
          </w:tcPr>
          <w:p w:rsidR="007C3ADA" w:rsidRPr="009B52A7" w:rsidRDefault="007C3ADA" w:rsidP="007C3A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52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44,8</w:t>
            </w:r>
          </w:p>
        </w:tc>
        <w:tc>
          <w:tcPr>
            <w:tcW w:w="1418" w:type="dxa"/>
          </w:tcPr>
          <w:p w:rsidR="007C3ADA" w:rsidRPr="009B52A7" w:rsidRDefault="007C3ADA" w:rsidP="007C3A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52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45,3</w:t>
            </w:r>
          </w:p>
        </w:tc>
        <w:tc>
          <w:tcPr>
            <w:tcW w:w="1345" w:type="dxa"/>
          </w:tcPr>
          <w:p w:rsidR="007C3ADA" w:rsidRPr="009B52A7" w:rsidRDefault="007C3ADA" w:rsidP="007C3A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52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45,8</w:t>
            </w:r>
          </w:p>
        </w:tc>
      </w:tr>
    </w:tbl>
    <w:p w:rsidR="00E3428A" w:rsidRPr="00E3428A" w:rsidRDefault="00E3428A" w:rsidP="00C645ED">
      <w:pPr>
        <w:spacing w:after="0" w:line="228" w:lineRule="auto"/>
        <w:ind w:firstLine="53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C3ADA" w:rsidRPr="007C3ADA" w:rsidRDefault="007C3ADA" w:rsidP="007C3ADA">
      <w:pPr>
        <w:tabs>
          <w:tab w:val="left" w:pos="709"/>
          <w:tab w:val="left" w:pos="1134"/>
        </w:tabs>
        <w:jc w:val="both"/>
        <w:rPr>
          <w:rFonts w:ascii="Times New Roman" w:hAnsi="Times New Roman" w:cs="Times New Roman"/>
        </w:rPr>
      </w:pPr>
      <w:r w:rsidRPr="007C3ADA">
        <w:rPr>
          <w:rFonts w:ascii="Times New Roman" w:hAnsi="Times New Roman" w:cs="Times New Roman"/>
        </w:rPr>
        <w:t>* - офіційна  інформація станом на 01.0</w:t>
      </w:r>
      <w:r w:rsidR="007C4192">
        <w:rPr>
          <w:rFonts w:ascii="Times New Roman" w:hAnsi="Times New Roman" w:cs="Times New Roman"/>
          <w:lang w:val="uk-UA"/>
        </w:rPr>
        <w:t>4</w:t>
      </w:r>
      <w:r w:rsidRPr="007C3ADA">
        <w:rPr>
          <w:rFonts w:ascii="Times New Roman" w:hAnsi="Times New Roman" w:cs="Times New Roman"/>
        </w:rPr>
        <w:t>.202</w:t>
      </w:r>
      <w:r w:rsidR="007C4192">
        <w:rPr>
          <w:rFonts w:ascii="Times New Roman" w:hAnsi="Times New Roman" w:cs="Times New Roman"/>
          <w:lang w:val="uk-UA"/>
        </w:rPr>
        <w:t>5</w:t>
      </w:r>
      <w:r w:rsidRPr="007C3ADA">
        <w:rPr>
          <w:rFonts w:ascii="Times New Roman" w:hAnsi="Times New Roman" w:cs="Times New Roman"/>
        </w:rPr>
        <w:t xml:space="preserve"> року</w:t>
      </w:r>
    </w:p>
    <w:p w:rsidR="00711BEC" w:rsidRDefault="00946DD1" w:rsidP="00711BEC">
      <w:pPr>
        <w:spacing w:after="0" w:line="360" w:lineRule="auto"/>
        <w:ind w:firstLine="53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46DD1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щодо земельного фонду </w:t>
      </w:r>
    </w:p>
    <w:p w:rsidR="00946DD1" w:rsidRDefault="00946DD1" w:rsidP="00711BEC">
      <w:pPr>
        <w:spacing w:after="0" w:line="360" w:lineRule="auto"/>
        <w:ind w:firstLine="53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46DD1">
        <w:rPr>
          <w:rFonts w:ascii="Times New Roman" w:hAnsi="Times New Roman" w:cs="Times New Roman"/>
          <w:sz w:val="28"/>
          <w:szCs w:val="28"/>
          <w:lang w:val="uk-UA"/>
        </w:rPr>
        <w:t>Лубенської міської територіальної громади.</w:t>
      </w:r>
    </w:p>
    <w:p w:rsidR="003D50AD" w:rsidRDefault="003D50AD" w:rsidP="002C30E2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Загальна площа земель громади становить 107 450 гектарів. До земель сільськогосподарського призначення відносяться 59 733 гектари, що сформовані на 24 221 ділянці. Землі житлової та громадської забудови становлять 1 679 гектари на 13 168 ділянках. Землі лісогосподарського призначення – 7 476 гектарів та 172 ділянках</w:t>
      </w:r>
      <w:r w:rsidR="00D67D9B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землі</w:t>
      </w:r>
      <w:r w:rsidR="00D67D9B">
        <w:rPr>
          <w:rFonts w:ascii="Times New Roman" w:hAnsi="Times New Roman" w:cs="Times New Roman"/>
          <w:sz w:val="28"/>
          <w:szCs w:val="28"/>
          <w:lang w:val="uk-UA"/>
        </w:rPr>
        <w:t xml:space="preserve"> водного фонду – </w:t>
      </w:r>
      <w:r w:rsidR="001739B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D67D9B">
        <w:rPr>
          <w:rFonts w:ascii="Times New Roman" w:hAnsi="Times New Roman" w:cs="Times New Roman"/>
          <w:sz w:val="28"/>
          <w:szCs w:val="28"/>
          <w:lang w:val="uk-UA"/>
        </w:rPr>
        <w:lastRenderedPageBreak/>
        <w:t>178 гектарів – 26 ділянок. Землі промисловості, зв’язку, транспорту та енергетики  - 1 595 гектари – 227 ділянок. До земель резервного фонду відносяться 1 321 гектар.</w:t>
      </w:r>
    </w:p>
    <w:p w:rsidR="006E1248" w:rsidRPr="002C30E2" w:rsidRDefault="006E1248" w:rsidP="002C30E2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50AD">
        <w:rPr>
          <w:rFonts w:ascii="Times New Roman" w:hAnsi="Times New Roman" w:cs="Times New Roman"/>
          <w:sz w:val="28"/>
          <w:szCs w:val="28"/>
          <w:lang w:val="uk-UA"/>
        </w:rPr>
        <w:t>У комунальній власності перебуває 6026 ділянок площею 14837 гектарів, з них перебуває в оренді 2127 з</w:t>
      </w:r>
      <w:r w:rsidRPr="002C30E2">
        <w:rPr>
          <w:rFonts w:ascii="Times New Roman" w:hAnsi="Times New Roman" w:cs="Times New Roman"/>
          <w:sz w:val="28"/>
          <w:szCs w:val="28"/>
        </w:rPr>
        <w:t xml:space="preserve">емельних ділянок на загальну площу </w:t>
      </w:r>
      <w:r w:rsidR="001739B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Pr="002C30E2">
        <w:rPr>
          <w:rFonts w:ascii="Times New Roman" w:hAnsi="Times New Roman" w:cs="Times New Roman"/>
          <w:sz w:val="28"/>
          <w:szCs w:val="28"/>
        </w:rPr>
        <w:t>6910 гектарів. У приватній власності перебуває 22777 ділянок на загальну площу 48266 гектарів. Найбільшими сільськогосподарськими товаровиробниками на території громади</w:t>
      </w:r>
      <w:proofErr w:type="gramStart"/>
      <w:r w:rsidRPr="002C30E2">
        <w:rPr>
          <w:rFonts w:ascii="Times New Roman" w:hAnsi="Times New Roman" w:cs="Times New Roman"/>
          <w:sz w:val="28"/>
          <w:szCs w:val="28"/>
        </w:rPr>
        <w:t xml:space="preserve"> є:</w:t>
      </w:r>
      <w:proofErr w:type="gramEnd"/>
      <w:r w:rsidRPr="002C30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C30E2">
        <w:rPr>
          <w:rFonts w:ascii="Times New Roman" w:hAnsi="Times New Roman" w:cs="Times New Roman"/>
          <w:sz w:val="28"/>
          <w:szCs w:val="28"/>
        </w:rPr>
        <w:t>ТОВ</w:t>
      </w:r>
      <w:proofErr w:type="gramEnd"/>
      <w:r w:rsidRPr="002C30E2">
        <w:rPr>
          <w:rFonts w:ascii="Times New Roman" w:hAnsi="Times New Roman" w:cs="Times New Roman"/>
          <w:sz w:val="28"/>
          <w:szCs w:val="28"/>
        </w:rPr>
        <w:t xml:space="preserve"> «Придніпровський край», </w:t>
      </w:r>
      <w:r w:rsidR="001739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C30E2">
        <w:rPr>
          <w:rFonts w:ascii="Times New Roman" w:hAnsi="Times New Roman" w:cs="Times New Roman"/>
          <w:sz w:val="28"/>
          <w:szCs w:val="28"/>
        </w:rPr>
        <w:t xml:space="preserve">ТОВ «Райз-Схід», ТОВ «Баришівська зернова компанія», </w:t>
      </w:r>
      <w:r w:rsidR="003D50AD">
        <w:rPr>
          <w:rFonts w:ascii="Times New Roman" w:hAnsi="Times New Roman" w:cs="Times New Roman"/>
          <w:sz w:val="28"/>
          <w:szCs w:val="28"/>
          <w:lang w:val="uk-UA"/>
        </w:rPr>
        <w:t xml:space="preserve">ТОВ «Астарта Прихоролля», </w:t>
      </w:r>
      <w:r w:rsidRPr="002C30E2">
        <w:rPr>
          <w:rFonts w:ascii="Times New Roman" w:hAnsi="Times New Roman" w:cs="Times New Roman"/>
          <w:sz w:val="28"/>
          <w:szCs w:val="28"/>
        </w:rPr>
        <w:t xml:space="preserve"> ФГ «Вітас і К»,  ТОВ «Посулля-Агро». </w:t>
      </w:r>
    </w:p>
    <w:p w:rsidR="00DF3C6E" w:rsidRDefault="00F90681" w:rsidP="002C30E2">
      <w:pPr>
        <w:spacing w:line="228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                                                                                                                  </w:t>
      </w:r>
    </w:p>
    <w:p w:rsidR="00711BEC" w:rsidRPr="00734487" w:rsidRDefault="003533EB" w:rsidP="00711BEC">
      <w:pPr>
        <w:spacing w:after="0" w:line="360" w:lineRule="auto"/>
        <w:ind w:firstLine="53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34487">
        <w:rPr>
          <w:rFonts w:ascii="Times New Roman" w:hAnsi="Times New Roman" w:cs="Times New Roman"/>
          <w:sz w:val="28"/>
          <w:szCs w:val="28"/>
          <w:lang w:val="uk-UA"/>
        </w:rPr>
        <w:t>Бюджетоутворюючі підприємства</w:t>
      </w:r>
    </w:p>
    <w:p w:rsidR="003533EB" w:rsidRPr="00734487" w:rsidRDefault="003533EB" w:rsidP="00711BEC">
      <w:pPr>
        <w:spacing w:after="0" w:line="360" w:lineRule="auto"/>
        <w:ind w:firstLine="53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34487">
        <w:rPr>
          <w:rFonts w:ascii="Times New Roman" w:hAnsi="Times New Roman" w:cs="Times New Roman"/>
          <w:sz w:val="28"/>
          <w:szCs w:val="28"/>
          <w:lang w:val="uk-UA"/>
        </w:rPr>
        <w:t>Лубенської міської територіальної громади станом на 01.07.202</w:t>
      </w:r>
      <w:r w:rsidR="002C30E2" w:rsidRPr="0073448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734487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</w:p>
    <w:tbl>
      <w:tblPr>
        <w:tblStyle w:val="a4"/>
        <w:tblW w:w="9180" w:type="dxa"/>
        <w:tblLook w:val="04A0"/>
      </w:tblPr>
      <w:tblGrid>
        <w:gridCol w:w="1951"/>
        <w:gridCol w:w="4820"/>
        <w:gridCol w:w="2409"/>
      </w:tblGrid>
      <w:tr w:rsidR="003533EB" w:rsidRPr="002C30E2" w:rsidTr="003533EB">
        <w:tc>
          <w:tcPr>
            <w:tcW w:w="1951" w:type="dxa"/>
          </w:tcPr>
          <w:p w:rsidR="003533EB" w:rsidRPr="00734487" w:rsidRDefault="003533EB" w:rsidP="00946DD1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344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Код</w:t>
            </w:r>
          </w:p>
        </w:tc>
        <w:tc>
          <w:tcPr>
            <w:tcW w:w="4820" w:type="dxa"/>
          </w:tcPr>
          <w:p w:rsidR="003533EB" w:rsidRPr="00734487" w:rsidRDefault="003533EB" w:rsidP="00946DD1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344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платника</w:t>
            </w:r>
          </w:p>
        </w:tc>
        <w:tc>
          <w:tcPr>
            <w:tcW w:w="2409" w:type="dxa"/>
          </w:tcPr>
          <w:p w:rsidR="003533EB" w:rsidRPr="00734487" w:rsidRDefault="003533EB" w:rsidP="00946DD1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344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Питома вага надходжень до загального фонду Лубенської ТГ</w:t>
            </w:r>
            <w:r w:rsidR="001739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%</w:t>
            </w:r>
          </w:p>
        </w:tc>
      </w:tr>
      <w:tr w:rsidR="00C4719A" w:rsidTr="003533EB">
        <w:tc>
          <w:tcPr>
            <w:tcW w:w="1951" w:type="dxa"/>
          </w:tcPr>
          <w:p w:rsidR="00C4719A" w:rsidRDefault="00C4719A" w:rsidP="00946DD1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44356917</w:t>
            </w:r>
          </w:p>
        </w:tc>
        <w:tc>
          <w:tcPr>
            <w:tcW w:w="4820" w:type="dxa"/>
          </w:tcPr>
          <w:p w:rsidR="00C4719A" w:rsidRDefault="00C4719A" w:rsidP="00C4719A">
            <w:pPr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Лубенська філія                                           АТ «Полтаваобленерго»</w:t>
            </w:r>
          </w:p>
        </w:tc>
        <w:tc>
          <w:tcPr>
            <w:tcW w:w="2409" w:type="dxa"/>
          </w:tcPr>
          <w:p w:rsidR="00C4719A" w:rsidRDefault="00C4719A" w:rsidP="00946DD1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</w:t>
            </w:r>
          </w:p>
        </w:tc>
      </w:tr>
      <w:tr w:rsidR="00C4719A" w:rsidTr="003533EB">
        <w:tc>
          <w:tcPr>
            <w:tcW w:w="1951" w:type="dxa"/>
          </w:tcPr>
          <w:p w:rsidR="00C4719A" w:rsidRDefault="00C4719A" w:rsidP="00734487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00480951</w:t>
            </w:r>
          </w:p>
        </w:tc>
        <w:tc>
          <w:tcPr>
            <w:tcW w:w="4820" w:type="dxa"/>
          </w:tcPr>
          <w:p w:rsidR="00C4719A" w:rsidRDefault="00C4719A" w:rsidP="00734487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АТ «Лубнифарм»</w:t>
            </w:r>
          </w:p>
        </w:tc>
        <w:tc>
          <w:tcPr>
            <w:tcW w:w="2409" w:type="dxa"/>
          </w:tcPr>
          <w:p w:rsidR="00C4719A" w:rsidRDefault="00C4719A" w:rsidP="00734487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1,5</w:t>
            </w:r>
          </w:p>
        </w:tc>
      </w:tr>
      <w:tr w:rsidR="0061378E" w:rsidTr="003533EB">
        <w:tc>
          <w:tcPr>
            <w:tcW w:w="1951" w:type="dxa"/>
          </w:tcPr>
          <w:p w:rsidR="0061378E" w:rsidRDefault="0061378E" w:rsidP="00734487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37504303</w:t>
            </w:r>
          </w:p>
        </w:tc>
        <w:tc>
          <w:tcPr>
            <w:tcW w:w="4820" w:type="dxa"/>
          </w:tcPr>
          <w:p w:rsidR="0061378E" w:rsidRDefault="0061378E" w:rsidP="00734487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ПП «Лубнимаш»</w:t>
            </w:r>
          </w:p>
        </w:tc>
        <w:tc>
          <w:tcPr>
            <w:tcW w:w="2409" w:type="dxa"/>
          </w:tcPr>
          <w:p w:rsidR="0061378E" w:rsidRDefault="0061378E" w:rsidP="00734487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1,4</w:t>
            </w:r>
          </w:p>
        </w:tc>
      </w:tr>
      <w:tr w:rsidR="0061378E" w:rsidTr="003533EB">
        <w:tc>
          <w:tcPr>
            <w:tcW w:w="1951" w:type="dxa"/>
          </w:tcPr>
          <w:p w:rsidR="0061378E" w:rsidRDefault="0061378E" w:rsidP="00734487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1999388</w:t>
            </w:r>
          </w:p>
        </w:tc>
        <w:tc>
          <w:tcPr>
            <w:tcW w:w="4820" w:type="dxa"/>
          </w:tcPr>
          <w:p w:rsidR="0061378E" w:rsidRDefault="0061378E" w:rsidP="00734487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«ЛЛІЛ» ЛМР</w:t>
            </w:r>
          </w:p>
        </w:tc>
        <w:tc>
          <w:tcPr>
            <w:tcW w:w="2409" w:type="dxa"/>
          </w:tcPr>
          <w:p w:rsidR="0061378E" w:rsidRDefault="0061378E" w:rsidP="00734487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</w:t>
            </w:r>
          </w:p>
        </w:tc>
      </w:tr>
      <w:tr w:rsidR="0061378E" w:rsidTr="003533EB">
        <w:tc>
          <w:tcPr>
            <w:tcW w:w="1951" w:type="dxa"/>
          </w:tcPr>
          <w:p w:rsidR="0061378E" w:rsidRDefault="0061378E" w:rsidP="00734487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42795490</w:t>
            </w:r>
          </w:p>
        </w:tc>
        <w:tc>
          <w:tcPr>
            <w:tcW w:w="4820" w:type="dxa"/>
          </w:tcPr>
          <w:p w:rsidR="0061378E" w:rsidRDefault="0061378E" w:rsidP="00734487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 «Оператор ГТС України»</w:t>
            </w:r>
          </w:p>
        </w:tc>
        <w:tc>
          <w:tcPr>
            <w:tcW w:w="2409" w:type="dxa"/>
          </w:tcPr>
          <w:p w:rsidR="0061378E" w:rsidRDefault="0061378E" w:rsidP="00734487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0,9</w:t>
            </w:r>
          </w:p>
        </w:tc>
      </w:tr>
      <w:tr w:rsidR="0061378E" w:rsidTr="003533EB">
        <w:tc>
          <w:tcPr>
            <w:tcW w:w="1951" w:type="dxa"/>
          </w:tcPr>
          <w:p w:rsidR="0061378E" w:rsidRDefault="0061378E" w:rsidP="00946DD1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02125131</w:t>
            </w:r>
          </w:p>
        </w:tc>
        <w:tc>
          <w:tcPr>
            <w:tcW w:w="4820" w:type="dxa"/>
          </w:tcPr>
          <w:p w:rsidR="0061378E" w:rsidRDefault="0061378E" w:rsidP="00946DD1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ДЗ «ЛНУ імені Тараса Шевченка»</w:t>
            </w:r>
          </w:p>
        </w:tc>
        <w:tc>
          <w:tcPr>
            <w:tcW w:w="2409" w:type="dxa"/>
          </w:tcPr>
          <w:p w:rsidR="0061378E" w:rsidRDefault="0061378E" w:rsidP="00946DD1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0,9</w:t>
            </w:r>
          </w:p>
        </w:tc>
      </w:tr>
      <w:tr w:rsidR="0061378E" w:rsidTr="003533EB">
        <w:tc>
          <w:tcPr>
            <w:tcW w:w="1951" w:type="dxa"/>
          </w:tcPr>
          <w:p w:rsidR="0061378E" w:rsidRDefault="0061378E" w:rsidP="00DC4506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05524713 </w:t>
            </w:r>
          </w:p>
        </w:tc>
        <w:tc>
          <w:tcPr>
            <w:tcW w:w="4820" w:type="dxa"/>
          </w:tcPr>
          <w:p w:rsidR="0061378E" w:rsidRDefault="0061378E" w:rsidP="00946DD1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АТ «Лубнигаз»</w:t>
            </w:r>
          </w:p>
        </w:tc>
        <w:tc>
          <w:tcPr>
            <w:tcW w:w="2409" w:type="dxa"/>
          </w:tcPr>
          <w:p w:rsidR="0061378E" w:rsidRDefault="0061378E" w:rsidP="00946DD1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</w:t>
            </w:r>
          </w:p>
        </w:tc>
      </w:tr>
      <w:tr w:rsidR="0061378E" w:rsidTr="003533EB">
        <w:tc>
          <w:tcPr>
            <w:tcW w:w="1951" w:type="dxa"/>
          </w:tcPr>
          <w:p w:rsidR="0061378E" w:rsidRDefault="0009481E" w:rsidP="00946DD1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35011042</w:t>
            </w:r>
          </w:p>
        </w:tc>
        <w:tc>
          <w:tcPr>
            <w:tcW w:w="4820" w:type="dxa"/>
          </w:tcPr>
          <w:p w:rsidR="0061378E" w:rsidRDefault="0009481E" w:rsidP="00946DD1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 «Грейд-Плюс»</w:t>
            </w:r>
          </w:p>
        </w:tc>
        <w:tc>
          <w:tcPr>
            <w:tcW w:w="2409" w:type="dxa"/>
          </w:tcPr>
          <w:p w:rsidR="0061378E" w:rsidRDefault="0009481E" w:rsidP="00946DD1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0,7</w:t>
            </w:r>
          </w:p>
        </w:tc>
      </w:tr>
      <w:tr w:rsidR="0061378E" w:rsidTr="003533EB">
        <w:tc>
          <w:tcPr>
            <w:tcW w:w="1951" w:type="dxa"/>
          </w:tcPr>
          <w:p w:rsidR="0061378E" w:rsidRDefault="0009481E" w:rsidP="00946DD1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00692334</w:t>
            </w:r>
          </w:p>
        </w:tc>
        <w:tc>
          <w:tcPr>
            <w:tcW w:w="4820" w:type="dxa"/>
          </w:tcPr>
          <w:p w:rsidR="0061378E" w:rsidRDefault="0009481E" w:rsidP="00946DD1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ТОВ «Держзембанк» </w:t>
            </w:r>
          </w:p>
        </w:tc>
        <w:tc>
          <w:tcPr>
            <w:tcW w:w="2409" w:type="dxa"/>
          </w:tcPr>
          <w:p w:rsidR="0061378E" w:rsidRDefault="0009481E" w:rsidP="00946DD1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0,6</w:t>
            </w:r>
          </w:p>
        </w:tc>
      </w:tr>
      <w:tr w:rsidR="0009481E" w:rsidTr="003533EB">
        <w:tc>
          <w:tcPr>
            <w:tcW w:w="1951" w:type="dxa"/>
          </w:tcPr>
          <w:p w:rsidR="0009481E" w:rsidRDefault="0009481E" w:rsidP="00946DD1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36770447</w:t>
            </w:r>
          </w:p>
        </w:tc>
        <w:tc>
          <w:tcPr>
            <w:tcW w:w="4820" w:type="dxa"/>
          </w:tcPr>
          <w:p w:rsidR="0009481E" w:rsidRDefault="0009481E" w:rsidP="00946DD1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ЛМРПО «Лубни-Водоканал»</w:t>
            </w:r>
          </w:p>
        </w:tc>
        <w:tc>
          <w:tcPr>
            <w:tcW w:w="2409" w:type="dxa"/>
          </w:tcPr>
          <w:p w:rsidR="0009481E" w:rsidRDefault="0009481E" w:rsidP="00946DD1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0,6</w:t>
            </w:r>
          </w:p>
        </w:tc>
      </w:tr>
    </w:tbl>
    <w:p w:rsidR="00CA66B9" w:rsidRDefault="00CA66B9" w:rsidP="00C645ED">
      <w:pPr>
        <w:spacing w:line="228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A66B9" w:rsidRDefault="00CA66B9" w:rsidP="00C645ED">
      <w:pPr>
        <w:spacing w:line="228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645ED" w:rsidRPr="00C645ED" w:rsidRDefault="00C645ED" w:rsidP="00C645ED">
      <w:pPr>
        <w:spacing w:line="228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45ED">
        <w:rPr>
          <w:rFonts w:ascii="Times New Roman" w:hAnsi="Times New Roman" w:cs="Times New Roman"/>
          <w:b/>
          <w:sz w:val="28"/>
          <w:szCs w:val="28"/>
          <w:lang w:val="uk-UA"/>
        </w:rPr>
        <w:t>ІІІ. Загальні показники бюджету</w:t>
      </w:r>
    </w:p>
    <w:p w:rsidR="00810DCC" w:rsidRDefault="00810DCC" w:rsidP="00F331B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9A5">
        <w:rPr>
          <w:rFonts w:ascii="Times New Roman" w:hAnsi="Times New Roman" w:cs="Times New Roman"/>
          <w:sz w:val="28"/>
          <w:szCs w:val="28"/>
          <w:lang w:val="uk-UA"/>
        </w:rPr>
        <w:t xml:space="preserve">Прогноз бюджету </w:t>
      </w:r>
      <w:r w:rsidR="00E64B92">
        <w:rPr>
          <w:rFonts w:ascii="Times New Roman" w:hAnsi="Times New Roman" w:cs="Times New Roman"/>
          <w:sz w:val="28"/>
          <w:szCs w:val="28"/>
          <w:lang w:val="uk-UA"/>
        </w:rPr>
        <w:t xml:space="preserve">Лубенської міської територіальної громади </w:t>
      </w:r>
      <w:r w:rsidRPr="00A949A5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A87F73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A949A5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2C30E2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A949A5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2C30E2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A949A5">
        <w:rPr>
          <w:rFonts w:ascii="Times New Roman" w:hAnsi="Times New Roman" w:cs="Times New Roman"/>
          <w:sz w:val="28"/>
          <w:szCs w:val="28"/>
          <w:lang w:val="uk-UA"/>
        </w:rPr>
        <w:t xml:space="preserve"> роки включає прогнозні показники бюджету громади за основними видами доходів, фінансування, видатків і кредитування, а також прогнозні </w:t>
      </w:r>
      <w:r w:rsidRPr="00A949A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показники за бюджетними програмами, які забезпечують протягом декількох років виконання інвестиційних проєктів. </w:t>
      </w:r>
    </w:p>
    <w:p w:rsidR="00810DCC" w:rsidRDefault="00810DCC" w:rsidP="00F331B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9A5">
        <w:rPr>
          <w:rFonts w:ascii="Times New Roman" w:hAnsi="Times New Roman" w:cs="Times New Roman"/>
          <w:sz w:val="28"/>
          <w:szCs w:val="28"/>
          <w:lang w:val="uk-UA"/>
        </w:rPr>
        <w:t>Зазначені показники є основою для складання головними розпорядниками бюджетних коштів планів своєї діяльності, місцевих програм та формування  показників проєкту бюджету міської територіальної громади на 202</w:t>
      </w:r>
      <w:r w:rsidR="002C30E2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A949A5">
        <w:rPr>
          <w:rFonts w:ascii="Times New Roman" w:hAnsi="Times New Roman" w:cs="Times New Roman"/>
          <w:sz w:val="28"/>
          <w:szCs w:val="28"/>
          <w:lang w:val="uk-UA"/>
        </w:rPr>
        <w:t xml:space="preserve"> рік.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550010" w:rsidRPr="00550010" w:rsidRDefault="00550010" w:rsidP="00F331B7">
      <w:pPr>
        <w:tabs>
          <w:tab w:val="left" w:pos="567"/>
          <w:tab w:val="left" w:pos="709"/>
        </w:tabs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50010">
        <w:rPr>
          <w:rFonts w:ascii="Times New Roman" w:hAnsi="Times New Roman" w:cs="Times New Roman"/>
          <w:sz w:val="28"/>
          <w:szCs w:val="28"/>
        </w:rPr>
        <w:t xml:space="preserve">При </w:t>
      </w:r>
      <w:r w:rsidR="00C645ED">
        <w:rPr>
          <w:rFonts w:ascii="Times New Roman" w:hAnsi="Times New Roman" w:cs="Times New Roman"/>
          <w:sz w:val="28"/>
          <w:szCs w:val="28"/>
          <w:lang w:val="uk-UA"/>
        </w:rPr>
        <w:t xml:space="preserve">середньостроковому </w:t>
      </w:r>
      <w:r w:rsidRPr="00550010">
        <w:rPr>
          <w:rFonts w:ascii="Times New Roman" w:hAnsi="Times New Roman" w:cs="Times New Roman"/>
          <w:sz w:val="28"/>
          <w:szCs w:val="28"/>
        </w:rPr>
        <w:t xml:space="preserve">прогнозуванні </w:t>
      </w:r>
      <w:r w:rsidR="00C645ED">
        <w:rPr>
          <w:rFonts w:ascii="Times New Roman" w:hAnsi="Times New Roman" w:cs="Times New Roman"/>
          <w:sz w:val="28"/>
          <w:szCs w:val="28"/>
          <w:lang w:val="uk-UA"/>
        </w:rPr>
        <w:t xml:space="preserve">бюджету територіальної </w:t>
      </w:r>
      <w:proofErr w:type="gramStart"/>
      <w:r w:rsidR="00C645ED">
        <w:rPr>
          <w:rFonts w:ascii="Times New Roman" w:hAnsi="Times New Roman" w:cs="Times New Roman"/>
          <w:sz w:val="28"/>
          <w:szCs w:val="28"/>
          <w:lang w:val="uk-UA"/>
        </w:rPr>
        <w:t>громади на</w:t>
      </w:r>
      <w:proofErr w:type="gramEnd"/>
      <w:r w:rsidR="00C645ED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2C30E2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C645ED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2C30E2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C645ED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Pr="00550010">
        <w:rPr>
          <w:rFonts w:ascii="Times New Roman" w:hAnsi="Times New Roman" w:cs="Times New Roman"/>
          <w:sz w:val="28"/>
          <w:szCs w:val="28"/>
        </w:rPr>
        <w:t xml:space="preserve"> бул</w:t>
      </w:r>
      <w:r w:rsidR="005373EE">
        <w:rPr>
          <w:rFonts w:ascii="Times New Roman" w:hAnsi="Times New Roman" w:cs="Times New Roman"/>
          <w:sz w:val="28"/>
          <w:szCs w:val="28"/>
          <w:lang w:val="uk-UA"/>
        </w:rPr>
        <w:t>и враховані наступні чинники</w:t>
      </w:r>
      <w:r w:rsidRPr="00550010">
        <w:rPr>
          <w:rFonts w:ascii="Times New Roman" w:hAnsi="Times New Roman" w:cs="Times New Roman"/>
          <w:sz w:val="28"/>
          <w:szCs w:val="28"/>
        </w:rPr>
        <w:t>:</w:t>
      </w:r>
    </w:p>
    <w:p w:rsidR="00550010" w:rsidRPr="00550010" w:rsidRDefault="00550010" w:rsidP="00F331B7">
      <w:pPr>
        <w:tabs>
          <w:tab w:val="left" w:pos="567"/>
          <w:tab w:val="left" w:pos="709"/>
        </w:tabs>
        <w:spacing w:after="0" w:line="360" w:lineRule="auto"/>
        <w:ind w:firstLine="53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50010">
        <w:rPr>
          <w:rFonts w:ascii="Times New Roman" w:hAnsi="Times New Roman" w:cs="Times New Roman"/>
          <w:sz w:val="28"/>
          <w:szCs w:val="28"/>
        </w:rPr>
        <w:tab/>
        <w:t>-</w:t>
      </w:r>
      <w:r w:rsidRPr="0055001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50010">
        <w:rPr>
          <w:rFonts w:ascii="Times New Roman" w:hAnsi="Times New Roman" w:cs="Times New Roman"/>
          <w:iCs/>
          <w:sz w:val="28"/>
          <w:szCs w:val="28"/>
        </w:rPr>
        <w:t xml:space="preserve">фактичне виконання дохідної </w:t>
      </w:r>
      <w:r w:rsidR="00FB45C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та видаткової </w:t>
      </w:r>
      <w:r w:rsidRPr="00550010">
        <w:rPr>
          <w:rFonts w:ascii="Times New Roman" w:hAnsi="Times New Roman" w:cs="Times New Roman"/>
          <w:iCs/>
          <w:sz w:val="28"/>
          <w:szCs w:val="28"/>
        </w:rPr>
        <w:t>частини   бюджет</w:t>
      </w:r>
      <w:r w:rsidR="00FB45C7">
        <w:rPr>
          <w:rFonts w:ascii="Times New Roman" w:hAnsi="Times New Roman" w:cs="Times New Roman"/>
          <w:iCs/>
          <w:sz w:val="28"/>
          <w:szCs w:val="28"/>
          <w:lang w:val="uk-UA"/>
        </w:rPr>
        <w:t>у</w:t>
      </w:r>
      <w:r w:rsidRPr="00550010">
        <w:rPr>
          <w:rFonts w:ascii="Times New Roman" w:hAnsi="Times New Roman" w:cs="Times New Roman"/>
          <w:iCs/>
          <w:sz w:val="28"/>
          <w:szCs w:val="28"/>
        </w:rPr>
        <w:t xml:space="preserve"> за результатами  20</w:t>
      </w:r>
      <w:r w:rsidR="00FB45C7">
        <w:rPr>
          <w:rFonts w:ascii="Times New Roman" w:hAnsi="Times New Roman" w:cs="Times New Roman"/>
          <w:iCs/>
          <w:sz w:val="28"/>
          <w:szCs w:val="28"/>
          <w:lang w:val="uk-UA"/>
        </w:rPr>
        <w:t>2</w:t>
      </w:r>
      <w:r w:rsidR="002C30E2">
        <w:rPr>
          <w:rFonts w:ascii="Times New Roman" w:hAnsi="Times New Roman" w:cs="Times New Roman"/>
          <w:iCs/>
          <w:sz w:val="28"/>
          <w:szCs w:val="28"/>
          <w:lang w:val="uk-UA"/>
        </w:rPr>
        <w:t>4</w:t>
      </w:r>
      <w:r w:rsidRPr="00550010">
        <w:rPr>
          <w:rFonts w:ascii="Times New Roman" w:hAnsi="Times New Roman" w:cs="Times New Roman"/>
          <w:iCs/>
          <w:sz w:val="28"/>
          <w:szCs w:val="28"/>
        </w:rPr>
        <w:t xml:space="preserve"> року</w:t>
      </w:r>
      <w:r w:rsidR="00FB45C7">
        <w:rPr>
          <w:rFonts w:ascii="Times New Roman" w:hAnsi="Times New Roman" w:cs="Times New Roman"/>
          <w:iCs/>
          <w:sz w:val="28"/>
          <w:szCs w:val="28"/>
        </w:rPr>
        <w:t xml:space="preserve"> та фактичне виконання за </w:t>
      </w:r>
      <w:r w:rsidR="00FB45C7">
        <w:rPr>
          <w:rFonts w:ascii="Times New Roman" w:hAnsi="Times New Roman" w:cs="Times New Roman"/>
          <w:iCs/>
          <w:sz w:val="28"/>
          <w:szCs w:val="28"/>
          <w:lang w:val="uk-UA"/>
        </w:rPr>
        <w:t>6</w:t>
      </w:r>
      <w:r w:rsidRPr="00550010">
        <w:rPr>
          <w:rFonts w:ascii="Times New Roman" w:hAnsi="Times New Roman" w:cs="Times New Roman"/>
          <w:iCs/>
          <w:sz w:val="28"/>
          <w:szCs w:val="28"/>
        </w:rPr>
        <w:t xml:space="preserve"> місяців 202</w:t>
      </w:r>
      <w:r w:rsidR="002C30E2">
        <w:rPr>
          <w:rFonts w:ascii="Times New Roman" w:hAnsi="Times New Roman" w:cs="Times New Roman"/>
          <w:iCs/>
          <w:sz w:val="28"/>
          <w:szCs w:val="28"/>
          <w:lang w:val="uk-UA"/>
        </w:rPr>
        <w:t>5</w:t>
      </w:r>
      <w:r w:rsidRPr="00550010">
        <w:rPr>
          <w:rFonts w:ascii="Times New Roman" w:hAnsi="Times New Roman" w:cs="Times New Roman"/>
          <w:iCs/>
          <w:sz w:val="28"/>
          <w:szCs w:val="28"/>
        </w:rPr>
        <w:t xml:space="preserve"> року;</w:t>
      </w:r>
    </w:p>
    <w:p w:rsidR="005373EE" w:rsidRPr="00C0152F" w:rsidRDefault="005373EE" w:rsidP="00F331B7">
      <w:pPr>
        <w:spacing w:after="0" w:line="360" w:lineRule="auto"/>
        <w:ind w:left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152F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C0152F">
        <w:rPr>
          <w:rFonts w:ascii="Times New Roman" w:hAnsi="Times New Roman" w:cs="Times New Roman"/>
          <w:sz w:val="28"/>
          <w:szCs w:val="28"/>
        </w:rPr>
        <w:t xml:space="preserve">розмір мінімальної заробітної плати, розмір прожиткового мінімуму для працездатних осіб, розмір посадового окладу (тарифної ставки) працівника І тарифного розряду ЄТС (відповідно до Бюджетної декларації); </w:t>
      </w:r>
    </w:p>
    <w:p w:rsidR="005373EE" w:rsidRPr="00C0152F" w:rsidRDefault="005373EE" w:rsidP="00F331B7">
      <w:pPr>
        <w:spacing w:after="0" w:line="360" w:lineRule="auto"/>
        <w:ind w:left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152F">
        <w:rPr>
          <w:rFonts w:ascii="Times New Roman" w:hAnsi="Times New Roman" w:cs="Times New Roman"/>
          <w:sz w:val="28"/>
          <w:szCs w:val="28"/>
          <w:lang w:val="uk-UA"/>
        </w:rPr>
        <w:t xml:space="preserve">- індекс споживчих цін (відповідно до основних прогнозних макропоказників економічного і соціального розвитку України); </w:t>
      </w:r>
    </w:p>
    <w:p w:rsidR="005373EE" w:rsidRPr="00C0152F" w:rsidRDefault="005373EE" w:rsidP="00F331B7">
      <w:pPr>
        <w:spacing w:after="0" w:line="360" w:lineRule="auto"/>
        <w:ind w:left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152F">
        <w:rPr>
          <w:rFonts w:ascii="Times New Roman" w:hAnsi="Times New Roman" w:cs="Times New Roman"/>
          <w:sz w:val="28"/>
          <w:szCs w:val="28"/>
          <w:lang w:val="uk-UA"/>
        </w:rPr>
        <w:t xml:space="preserve">- чисельність населення відповідної адміністративно-територіальної одиниці (відповідно до відомчої інформаційної системи Державної міграційної служби України, чисельність внутрішньо переміщених осіб (на підставі даних Міністерства соціальної політики України); </w:t>
      </w:r>
    </w:p>
    <w:p w:rsidR="005373EE" w:rsidRPr="00C0152F" w:rsidRDefault="005373EE" w:rsidP="00F331B7">
      <w:pPr>
        <w:spacing w:after="0" w:line="360" w:lineRule="auto"/>
        <w:ind w:left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152F">
        <w:rPr>
          <w:rFonts w:ascii="Times New Roman" w:hAnsi="Times New Roman" w:cs="Times New Roman"/>
          <w:sz w:val="28"/>
          <w:szCs w:val="28"/>
          <w:lang w:val="uk-UA"/>
        </w:rPr>
        <w:t>- фонд оплати праці, середньомісячна заробітна плата / мінімальна заробітна плата, індекс споживчих цін, інші чинники, що впливають на обсяг податку на доходи фізичних осіб</w:t>
      </w:r>
      <w:r w:rsidR="00F8514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A66B9" w:rsidRDefault="00CA66B9" w:rsidP="00BF318B">
      <w:pPr>
        <w:shd w:val="clear" w:color="auto" w:fill="FFFFFF"/>
        <w:spacing w:after="166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CA66B9" w:rsidRDefault="00CA66B9" w:rsidP="00BF318B">
      <w:pPr>
        <w:shd w:val="clear" w:color="auto" w:fill="FFFFFF"/>
        <w:spacing w:after="166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CA66B9" w:rsidRDefault="00CA66B9" w:rsidP="00BF318B">
      <w:pPr>
        <w:shd w:val="clear" w:color="auto" w:fill="FFFFFF"/>
        <w:spacing w:after="166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CA66B9" w:rsidRDefault="00CA66B9" w:rsidP="00BF318B">
      <w:pPr>
        <w:shd w:val="clear" w:color="auto" w:fill="FFFFFF"/>
        <w:spacing w:after="166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734487" w:rsidRDefault="00734487" w:rsidP="00BF318B">
      <w:pPr>
        <w:shd w:val="clear" w:color="auto" w:fill="FFFFFF"/>
        <w:spacing w:after="166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734487" w:rsidRDefault="00734487" w:rsidP="00BF318B">
      <w:pPr>
        <w:shd w:val="clear" w:color="auto" w:fill="FFFFFF"/>
        <w:spacing w:after="166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734487" w:rsidRDefault="00734487" w:rsidP="00BF318B">
      <w:pPr>
        <w:shd w:val="clear" w:color="auto" w:fill="FFFFFF"/>
        <w:spacing w:after="166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87F73" w:rsidRDefault="00A87F73" w:rsidP="00BF318B">
      <w:pPr>
        <w:shd w:val="clear" w:color="auto" w:fill="FFFFFF"/>
        <w:spacing w:after="166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730836" w:rsidRPr="00911DDE" w:rsidRDefault="00993053" w:rsidP="00BF318B">
      <w:pPr>
        <w:shd w:val="clear" w:color="auto" w:fill="FFFFFF"/>
        <w:spacing w:after="166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11D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Розмі</w:t>
      </w:r>
      <w:proofErr w:type="gramStart"/>
      <w:r w:rsidRPr="00911D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911D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прожиткового мінімуму, грн</w:t>
      </w:r>
      <w:r w:rsidR="00730836" w:rsidRPr="00911DD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</w:p>
    <w:tbl>
      <w:tblPr>
        <w:tblW w:w="0" w:type="auto"/>
        <w:tblInd w:w="606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86"/>
        <w:gridCol w:w="1143"/>
        <w:gridCol w:w="1143"/>
        <w:gridCol w:w="1143"/>
      </w:tblGrid>
      <w:tr w:rsidR="00993053" w:rsidRPr="00911DDE" w:rsidTr="00272ADE">
        <w:trPr>
          <w:trHeight w:val="2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2" w:type="dxa"/>
              <w:left w:w="132" w:type="dxa"/>
              <w:bottom w:w="132" w:type="dxa"/>
              <w:right w:w="132" w:type="dxa"/>
            </w:tcMar>
            <w:hideMark/>
          </w:tcPr>
          <w:p w:rsidR="00993053" w:rsidRPr="00CA66B9" w:rsidRDefault="00911DDE" w:rsidP="00911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Прожитковий мінімум: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2" w:type="dxa"/>
              <w:left w:w="132" w:type="dxa"/>
              <w:bottom w:w="132" w:type="dxa"/>
              <w:right w:w="132" w:type="dxa"/>
            </w:tcMar>
            <w:hideMark/>
          </w:tcPr>
          <w:p w:rsidR="00993053" w:rsidRPr="00CA66B9" w:rsidRDefault="00BC585F" w:rsidP="003A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6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2026 рік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2" w:type="dxa"/>
              <w:left w:w="132" w:type="dxa"/>
              <w:bottom w:w="132" w:type="dxa"/>
              <w:right w:w="132" w:type="dxa"/>
            </w:tcMar>
            <w:hideMark/>
          </w:tcPr>
          <w:p w:rsidR="00993053" w:rsidRPr="00CA66B9" w:rsidRDefault="00993053" w:rsidP="00BC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BC585F" w:rsidRPr="00CA6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7</w:t>
            </w:r>
            <w:r w:rsidRPr="00CA6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A6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CA6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2" w:type="dxa"/>
              <w:left w:w="132" w:type="dxa"/>
              <w:bottom w:w="132" w:type="dxa"/>
              <w:right w:w="132" w:type="dxa"/>
            </w:tcMar>
            <w:hideMark/>
          </w:tcPr>
          <w:p w:rsidR="00993053" w:rsidRPr="00CA66B9" w:rsidRDefault="00993053" w:rsidP="00BC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BC585F" w:rsidRPr="00CA6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</w:t>
            </w:r>
            <w:r w:rsidRPr="00CA6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A6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CA6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ік</w:t>
            </w:r>
          </w:p>
        </w:tc>
      </w:tr>
      <w:tr w:rsidR="00911DDE" w:rsidRPr="00911DDE" w:rsidTr="00272ADE">
        <w:trPr>
          <w:trHeight w:val="2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2" w:type="dxa"/>
              <w:left w:w="132" w:type="dxa"/>
              <w:bottom w:w="132" w:type="dxa"/>
              <w:right w:w="132" w:type="dxa"/>
            </w:tcMar>
            <w:hideMark/>
          </w:tcPr>
          <w:p w:rsidR="00911DDE" w:rsidRPr="00CA66B9" w:rsidRDefault="00911DDE" w:rsidP="00911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Pr="00CA66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одну </w:t>
            </w:r>
            <w:r w:rsidRPr="00CA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2" w:type="dxa"/>
              <w:left w:w="132" w:type="dxa"/>
              <w:bottom w:w="132" w:type="dxa"/>
              <w:right w:w="132" w:type="dxa"/>
            </w:tcMar>
            <w:hideMark/>
          </w:tcPr>
          <w:p w:rsidR="00911DDE" w:rsidRPr="00CA66B9" w:rsidRDefault="00911DDE" w:rsidP="003A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66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3 171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2" w:type="dxa"/>
              <w:left w:w="132" w:type="dxa"/>
              <w:bottom w:w="132" w:type="dxa"/>
              <w:right w:w="132" w:type="dxa"/>
            </w:tcMar>
            <w:hideMark/>
          </w:tcPr>
          <w:p w:rsidR="00911DDE" w:rsidRPr="00CA66B9" w:rsidRDefault="00911DDE" w:rsidP="003A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66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3 358</w:t>
            </w:r>
            <w:r w:rsidRPr="00CA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11DDE" w:rsidRPr="00CA66B9" w:rsidRDefault="00911DDE" w:rsidP="003A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2" w:type="dxa"/>
              <w:left w:w="132" w:type="dxa"/>
              <w:bottom w:w="132" w:type="dxa"/>
              <w:right w:w="132" w:type="dxa"/>
            </w:tcMar>
            <w:hideMark/>
          </w:tcPr>
          <w:p w:rsidR="00911DDE" w:rsidRPr="00CA66B9" w:rsidRDefault="00911DDE" w:rsidP="003A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66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3 536</w:t>
            </w:r>
          </w:p>
        </w:tc>
      </w:tr>
      <w:tr w:rsidR="00911DDE" w:rsidRPr="00911DDE" w:rsidTr="00272ADE">
        <w:trPr>
          <w:trHeight w:val="2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2" w:type="dxa"/>
              <w:left w:w="132" w:type="dxa"/>
              <w:bottom w:w="132" w:type="dxa"/>
              <w:right w:w="132" w:type="dxa"/>
            </w:tcMar>
            <w:hideMark/>
          </w:tcPr>
          <w:p w:rsidR="00911DDE" w:rsidRPr="00CA66B9" w:rsidRDefault="00911DDE" w:rsidP="0099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дітей віком до 6 рокі</w:t>
            </w:r>
            <w:proofErr w:type="gramStart"/>
            <w:r w:rsidRPr="00CA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2" w:type="dxa"/>
              <w:left w:w="132" w:type="dxa"/>
              <w:bottom w:w="132" w:type="dxa"/>
              <w:right w:w="132" w:type="dxa"/>
            </w:tcMar>
            <w:hideMark/>
          </w:tcPr>
          <w:p w:rsidR="00911DDE" w:rsidRPr="00CA66B9" w:rsidRDefault="00911DDE" w:rsidP="003A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66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2 783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2" w:type="dxa"/>
              <w:left w:w="132" w:type="dxa"/>
              <w:bottom w:w="132" w:type="dxa"/>
              <w:right w:w="132" w:type="dxa"/>
            </w:tcMar>
            <w:hideMark/>
          </w:tcPr>
          <w:p w:rsidR="00911DDE" w:rsidRPr="00CA66B9" w:rsidRDefault="00911DDE" w:rsidP="003A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66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2 947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2" w:type="dxa"/>
              <w:left w:w="132" w:type="dxa"/>
              <w:bottom w:w="132" w:type="dxa"/>
              <w:right w:w="132" w:type="dxa"/>
            </w:tcMar>
            <w:hideMark/>
          </w:tcPr>
          <w:p w:rsidR="00911DDE" w:rsidRPr="00CA66B9" w:rsidRDefault="00911DDE" w:rsidP="003A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66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3 103</w:t>
            </w:r>
          </w:p>
        </w:tc>
      </w:tr>
      <w:tr w:rsidR="00911DDE" w:rsidRPr="00911DDE" w:rsidTr="00272ADE">
        <w:trPr>
          <w:trHeight w:val="2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2" w:type="dxa"/>
              <w:left w:w="132" w:type="dxa"/>
              <w:bottom w:w="132" w:type="dxa"/>
              <w:right w:w="132" w:type="dxa"/>
            </w:tcMar>
            <w:hideMark/>
          </w:tcPr>
          <w:p w:rsidR="00911DDE" w:rsidRPr="00CA66B9" w:rsidRDefault="00911DDE" w:rsidP="0099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дітей віком від 6 до 18 рокі</w:t>
            </w:r>
            <w:proofErr w:type="gramStart"/>
            <w:r w:rsidRPr="00CA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2" w:type="dxa"/>
              <w:left w:w="132" w:type="dxa"/>
              <w:bottom w:w="132" w:type="dxa"/>
              <w:right w:w="132" w:type="dxa"/>
            </w:tcMar>
            <w:hideMark/>
          </w:tcPr>
          <w:p w:rsidR="00911DDE" w:rsidRPr="00CA66B9" w:rsidRDefault="00911DDE" w:rsidP="003A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66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3 471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2" w:type="dxa"/>
              <w:left w:w="132" w:type="dxa"/>
              <w:bottom w:w="132" w:type="dxa"/>
              <w:right w:w="132" w:type="dxa"/>
            </w:tcMar>
            <w:hideMark/>
          </w:tcPr>
          <w:p w:rsidR="00911DDE" w:rsidRPr="00CA66B9" w:rsidRDefault="00911DDE" w:rsidP="003A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66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3 676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2" w:type="dxa"/>
              <w:left w:w="132" w:type="dxa"/>
              <w:bottom w:w="132" w:type="dxa"/>
              <w:right w:w="132" w:type="dxa"/>
            </w:tcMar>
            <w:hideMark/>
          </w:tcPr>
          <w:p w:rsidR="00911DDE" w:rsidRPr="00CA66B9" w:rsidRDefault="00911DDE" w:rsidP="003A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66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3 871</w:t>
            </w:r>
          </w:p>
        </w:tc>
      </w:tr>
      <w:tr w:rsidR="00911DDE" w:rsidRPr="00911DDE" w:rsidTr="00272ADE">
        <w:trPr>
          <w:trHeight w:val="2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2" w:type="dxa"/>
              <w:left w:w="132" w:type="dxa"/>
              <w:bottom w:w="132" w:type="dxa"/>
              <w:right w:w="132" w:type="dxa"/>
            </w:tcMar>
            <w:hideMark/>
          </w:tcPr>
          <w:p w:rsidR="00911DDE" w:rsidRPr="00CA66B9" w:rsidRDefault="00911DDE" w:rsidP="0099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працездатних </w:t>
            </w:r>
            <w:proofErr w:type="gramStart"/>
            <w:r w:rsidRPr="00CA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2" w:type="dxa"/>
              <w:left w:w="132" w:type="dxa"/>
              <w:bottom w:w="132" w:type="dxa"/>
              <w:right w:w="132" w:type="dxa"/>
            </w:tcMar>
            <w:hideMark/>
          </w:tcPr>
          <w:p w:rsidR="00911DDE" w:rsidRPr="00CA66B9" w:rsidRDefault="00911DDE" w:rsidP="003A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66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3 288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2" w:type="dxa"/>
              <w:left w:w="132" w:type="dxa"/>
              <w:bottom w:w="132" w:type="dxa"/>
              <w:right w:w="132" w:type="dxa"/>
            </w:tcMar>
            <w:hideMark/>
          </w:tcPr>
          <w:p w:rsidR="00911DDE" w:rsidRPr="00CA66B9" w:rsidRDefault="00911DDE" w:rsidP="003A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66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3 482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2" w:type="dxa"/>
              <w:left w:w="132" w:type="dxa"/>
              <w:bottom w:w="132" w:type="dxa"/>
              <w:right w:w="132" w:type="dxa"/>
            </w:tcMar>
            <w:hideMark/>
          </w:tcPr>
          <w:p w:rsidR="00911DDE" w:rsidRPr="00CA66B9" w:rsidRDefault="00911DDE" w:rsidP="003A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66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3 667</w:t>
            </w:r>
          </w:p>
        </w:tc>
      </w:tr>
      <w:tr w:rsidR="00911DDE" w:rsidRPr="00911DDE" w:rsidTr="00272ADE">
        <w:trPr>
          <w:trHeight w:val="2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2" w:type="dxa"/>
              <w:left w:w="132" w:type="dxa"/>
              <w:bottom w:w="132" w:type="dxa"/>
              <w:right w:w="132" w:type="dxa"/>
            </w:tcMar>
            <w:hideMark/>
          </w:tcPr>
          <w:p w:rsidR="00911DDE" w:rsidRPr="00CA66B9" w:rsidRDefault="00911DDE" w:rsidP="0099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gramStart"/>
            <w:r w:rsidRPr="00CA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gramEnd"/>
            <w:r w:rsidRPr="00CA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які втратили працездатність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2" w:type="dxa"/>
              <w:left w:w="132" w:type="dxa"/>
              <w:bottom w:w="132" w:type="dxa"/>
              <w:right w:w="132" w:type="dxa"/>
            </w:tcMar>
            <w:hideMark/>
          </w:tcPr>
          <w:p w:rsidR="00911DDE" w:rsidRPr="00CA66B9" w:rsidRDefault="00911DDE" w:rsidP="003A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66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2 564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2" w:type="dxa"/>
              <w:left w:w="132" w:type="dxa"/>
              <w:bottom w:w="132" w:type="dxa"/>
              <w:right w:w="132" w:type="dxa"/>
            </w:tcMar>
            <w:hideMark/>
          </w:tcPr>
          <w:p w:rsidR="00911DDE" w:rsidRPr="00CA66B9" w:rsidRDefault="00911DDE" w:rsidP="003A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66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2 715</w:t>
            </w:r>
            <w:r w:rsidRPr="00CA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11DDE" w:rsidRPr="00CA66B9" w:rsidRDefault="00911DDE" w:rsidP="003A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11DDE" w:rsidRPr="00CA66B9" w:rsidRDefault="00911DDE" w:rsidP="003A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11DDE" w:rsidRPr="00CA66B9" w:rsidRDefault="00911DDE" w:rsidP="003A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2" w:type="dxa"/>
              <w:left w:w="132" w:type="dxa"/>
              <w:bottom w:w="132" w:type="dxa"/>
              <w:right w:w="132" w:type="dxa"/>
            </w:tcMar>
            <w:hideMark/>
          </w:tcPr>
          <w:p w:rsidR="00911DDE" w:rsidRPr="00CA66B9" w:rsidRDefault="00911DDE" w:rsidP="003A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66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2 859</w:t>
            </w:r>
          </w:p>
        </w:tc>
      </w:tr>
    </w:tbl>
    <w:p w:rsidR="00993053" w:rsidRPr="00550E7D" w:rsidRDefault="00993053" w:rsidP="00993053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  <w:r w:rsidRPr="00550E7D">
        <w:rPr>
          <w:rFonts w:ascii="Times New Roman" w:eastAsia="Times New Roman" w:hAnsi="Times New Roman" w:cs="Times New Roman"/>
          <w:color w:val="FF0000"/>
          <w:lang w:eastAsia="ru-RU"/>
        </w:rPr>
        <w:t> </w:t>
      </w:r>
    </w:p>
    <w:p w:rsidR="00E64B92" w:rsidRPr="00D5598A" w:rsidRDefault="00530857" w:rsidP="001159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598A">
        <w:rPr>
          <w:rFonts w:ascii="Times New Roman" w:hAnsi="Times New Roman" w:cs="Times New Roman"/>
          <w:sz w:val="28"/>
          <w:szCs w:val="28"/>
          <w:lang w:val="uk-UA"/>
        </w:rPr>
        <w:t>Мінімальна зарплата та соціальні стандарти:</w:t>
      </w:r>
    </w:p>
    <w:tbl>
      <w:tblPr>
        <w:tblStyle w:val="a4"/>
        <w:tblW w:w="4798" w:type="pct"/>
        <w:tblLook w:val="04A0"/>
      </w:tblPr>
      <w:tblGrid>
        <w:gridCol w:w="3322"/>
        <w:gridCol w:w="1464"/>
        <w:gridCol w:w="1663"/>
        <w:gridCol w:w="1400"/>
        <w:gridCol w:w="1608"/>
      </w:tblGrid>
      <w:tr w:rsidR="0056364F" w:rsidRPr="000654CF" w:rsidTr="00272ADE">
        <w:trPr>
          <w:trHeight w:val="113"/>
        </w:trPr>
        <w:tc>
          <w:tcPr>
            <w:tcW w:w="1756" w:type="pct"/>
            <w:vMerge w:val="restart"/>
          </w:tcPr>
          <w:p w:rsidR="0056364F" w:rsidRPr="00D5598A" w:rsidRDefault="0056364F" w:rsidP="00E44F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59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Показник</w:t>
            </w:r>
          </w:p>
        </w:tc>
        <w:tc>
          <w:tcPr>
            <w:tcW w:w="1653" w:type="pct"/>
            <w:gridSpan w:val="2"/>
          </w:tcPr>
          <w:p w:rsidR="0056364F" w:rsidRPr="00D5598A" w:rsidRDefault="0056364F" w:rsidP="00E44F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59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Мінімальна заробітна плата</w:t>
            </w:r>
          </w:p>
        </w:tc>
        <w:tc>
          <w:tcPr>
            <w:tcW w:w="1590" w:type="pct"/>
            <w:gridSpan w:val="2"/>
          </w:tcPr>
          <w:p w:rsidR="0056364F" w:rsidRPr="00D5598A" w:rsidRDefault="0056364F" w:rsidP="00E44F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59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Посадовий оклад працівника І тарифного розряду Єдиної тарифної сітки</w:t>
            </w:r>
          </w:p>
        </w:tc>
      </w:tr>
      <w:tr w:rsidR="0056364F" w:rsidRPr="00D5598A" w:rsidTr="00272ADE">
        <w:trPr>
          <w:trHeight w:val="113"/>
        </w:trPr>
        <w:tc>
          <w:tcPr>
            <w:tcW w:w="1756" w:type="pct"/>
            <w:vMerge/>
          </w:tcPr>
          <w:p w:rsidR="0056364F" w:rsidRPr="00D5598A" w:rsidRDefault="0056364F" w:rsidP="00E44F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74" w:type="pct"/>
          </w:tcPr>
          <w:p w:rsidR="0056364F" w:rsidRPr="00D5598A" w:rsidRDefault="0056364F" w:rsidP="00E44F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59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879" w:type="pct"/>
          </w:tcPr>
          <w:p w:rsidR="0056364F" w:rsidRPr="00D5598A" w:rsidRDefault="0056364F" w:rsidP="00E44F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59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темпи приросту, %</w:t>
            </w:r>
          </w:p>
        </w:tc>
        <w:tc>
          <w:tcPr>
            <w:tcW w:w="740" w:type="pct"/>
          </w:tcPr>
          <w:p w:rsidR="0056364F" w:rsidRPr="00D5598A" w:rsidRDefault="0056364F" w:rsidP="00E44F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59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850" w:type="pct"/>
          </w:tcPr>
          <w:p w:rsidR="0056364F" w:rsidRPr="00D5598A" w:rsidRDefault="0056364F" w:rsidP="00E44F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59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темпи приросту, %</w:t>
            </w:r>
          </w:p>
        </w:tc>
      </w:tr>
      <w:tr w:rsidR="0056364F" w:rsidRPr="00D5598A" w:rsidTr="00272ADE">
        <w:trPr>
          <w:trHeight w:val="113"/>
        </w:trPr>
        <w:tc>
          <w:tcPr>
            <w:tcW w:w="1756" w:type="pct"/>
          </w:tcPr>
          <w:p w:rsidR="0056364F" w:rsidRPr="00D5598A" w:rsidRDefault="0056364F" w:rsidP="00272A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59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01 січня 202</w:t>
            </w:r>
            <w:r w:rsidR="00272ADE" w:rsidRPr="00D559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Pr="00D559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774" w:type="pct"/>
          </w:tcPr>
          <w:p w:rsidR="0056364F" w:rsidRPr="00D5598A" w:rsidRDefault="00A87F73" w:rsidP="00A87F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8 686</w:t>
            </w:r>
          </w:p>
        </w:tc>
        <w:tc>
          <w:tcPr>
            <w:tcW w:w="879" w:type="pct"/>
          </w:tcPr>
          <w:p w:rsidR="0056364F" w:rsidRPr="00D5598A" w:rsidRDefault="00A87F73" w:rsidP="00E44F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8,6</w:t>
            </w:r>
          </w:p>
        </w:tc>
        <w:tc>
          <w:tcPr>
            <w:tcW w:w="740" w:type="pct"/>
          </w:tcPr>
          <w:p w:rsidR="0056364F" w:rsidRPr="00D5598A" w:rsidRDefault="00272ADE" w:rsidP="00E44F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59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3 470</w:t>
            </w:r>
          </w:p>
        </w:tc>
        <w:tc>
          <w:tcPr>
            <w:tcW w:w="850" w:type="pct"/>
          </w:tcPr>
          <w:p w:rsidR="0056364F" w:rsidRPr="00D5598A" w:rsidRDefault="00A87F73" w:rsidP="00E44F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8,6</w:t>
            </w:r>
          </w:p>
        </w:tc>
      </w:tr>
      <w:tr w:rsidR="0056364F" w:rsidRPr="00D5598A" w:rsidTr="00272ADE">
        <w:trPr>
          <w:trHeight w:val="113"/>
        </w:trPr>
        <w:tc>
          <w:tcPr>
            <w:tcW w:w="1756" w:type="pct"/>
          </w:tcPr>
          <w:p w:rsidR="0056364F" w:rsidRPr="00D5598A" w:rsidRDefault="0056364F" w:rsidP="00272A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59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01 січня 202</w:t>
            </w:r>
            <w:r w:rsidR="00272ADE" w:rsidRPr="00D559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D559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774" w:type="pct"/>
          </w:tcPr>
          <w:p w:rsidR="0056364F" w:rsidRPr="00D5598A" w:rsidRDefault="00272ADE" w:rsidP="00E44F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59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9 374</w:t>
            </w:r>
          </w:p>
        </w:tc>
        <w:tc>
          <w:tcPr>
            <w:tcW w:w="879" w:type="pct"/>
          </w:tcPr>
          <w:p w:rsidR="0056364F" w:rsidRPr="00D5598A" w:rsidRDefault="00272ADE" w:rsidP="00E44F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59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7,9</w:t>
            </w:r>
          </w:p>
        </w:tc>
        <w:tc>
          <w:tcPr>
            <w:tcW w:w="740" w:type="pct"/>
          </w:tcPr>
          <w:p w:rsidR="0056364F" w:rsidRPr="00D5598A" w:rsidRDefault="00272ADE" w:rsidP="00E44F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59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3 744</w:t>
            </w:r>
          </w:p>
        </w:tc>
        <w:tc>
          <w:tcPr>
            <w:tcW w:w="850" w:type="pct"/>
          </w:tcPr>
          <w:p w:rsidR="0056364F" w:rsidRPr="00D5598A" w:rsidRDefault="0056364F" w:rsidP="00272A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59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7,</w:t>
            </w:r>
            <w:r w:rsidR="00272ADE" w:rsidRPr="00D559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56364F" w:rsidRPr="00D5598A" w:rsidTr="00272ADE">
        <w:trPr>
          <w:trHeight w:val="113"/>
        </w:trPr>
        <w:tc>
          <w:tcPr>
            <w:tcW w:w="1756" w:type="pct"/>
          </w:tcPr>
          <w:p w:rsidR="0056364F" w:rsidRPr="00D5598A" w:rsidRDefault="0056364F" w:rsidP="00272A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59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01 січня 202</w:t>
            </w:r>
            <w:r w:rsidR="00272ADE" w:rsidRPr="00D559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Pr="00D559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774" w:type="pct"/>
          </w:tcPr>
          <w:p w:rsidR="0056364F" w:rsidRPr="00D5598A" w:rsidRDefault="00272ADE" w:rsidP="00E44F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59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10 059</w:t>
            </w:r>
          </w:p>
        </w:tc>
        <w:tc>
          <w:tcPr>
            <w:tcW w:w="879" w:type="pct"/>
          </w:tcPr>
          <w:p w:rsidR="0056364F" w:rsidRPr="00D5598A" w:rsidRDefault="00272ADE" w:rsidP="00E44F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59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7,3</w:t>
            </w:r>
          </w:p>
        </w:tc>
        <w:tc>
          <w:tcPr>
            <w:tcW w:w="740" w:type="pct"/>
          </w:tcPr>
          <w:p w:rsidR="0056364F" w:rsidRPr="00D5598A" w:rsidRDefault="00272ADE" w:rsidP="00E44F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59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4 018</w:t>
            </w:r>
          </w:p>
        </w:tc>
        <w:tc>
          <w:tcPr>
            <w:tcW w:w="850" w:type="pct"/>
          </w:tcPr>
          <w:p w:rsidR="0056364F" w:rsidRPr="00D5598A" w:rsidRDefault="00272ADE" w:rsidP="00E44F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59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7,3</w:t>
            </w:r>
          </w:p>
        </w:tc>
      </w:tr>
    </w:tbl>
    <w:p w:rsidR="00530857" w:rsidRPr="00D5598A" w:rsidRDefault="00530857" w:rsidP="00E44F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7598" w:rsidRDefault="002C7598" w:rsidP="001159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7598">
        <w:rPr>
          <w:rFonts w:ascii="Times New Roman" w:hAnsi="Times New Roman" w:cs="Times New Roman"/>
          <w:sz w:val="28"/>
          <w:szCs w:val="28"/>
          <w:lang w:val="uk-UA"/>
        </w:rPr>
        <w:t xml:space="preserve">З урахуванням прогнозу основних макроекономічних показників економічного та соціального розвитку </w:t>
      </w:r>
      <w:r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Pr="002C7598">
        <w:rPr>
          <w:rFonts w:ascii="Times New Roman" w:hAnsi="Times New Roman" w:cs="Times New Roman"/>
          <w:sz w:val="28"/>
          <w:szCs w:val="28"/>
          <w:lang w:val="uk-UA"/>
        </w:rPr>
        <w:t xml:space="preserve">, динаміки бази оподаткування, ефективності податкового адміністрування, загальні показники доходів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бюджету Лубенської міської територіальної громади </w:t>
      </w:r>
      <w:r w:rsidRPr="002C7598">
        <w:rPr>
          <w:rFonts w:ascii="Times New Roman" w:hAnsi="Times New Roman" w:cs="Times New Roman"/>
          <w:sz w:val="28"/>
          <w:szCs w:val="28"/>
          <w:lang w:val="uk-UA"/>
        </w:rPr>
        <w:t xml:space="preserve"> на 202</w:t>
      </w:r>
      <w:r w:rsidR="00550E7D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2C7598">
        <w:rPr>
          <w:rFonts w:ascii="Times New Roman" w:hAnsi="Times New Roman" w:cs="Times New Roman"/>
          <w:sz w:val="28"/>
          <w:szCs w:val="28"/>
          <w:lang w:val="uk-UA"/>
        </w:rPr>
        <w:t xml:space="preserve"> – 202</w:t>
      </w:r>
      <w:r w:rsidR="00550E7D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2C7598">
        <w:rPr>
          <w:rFonts w:ascii="Times New Roman" w:hAnsi="Times New Roman" w:cs="Times New Roman"/>
          <w:sz w:val="28"/>
          <w:szCs w:val="28"/>
          <w:lang w:val="uk-UA"/>
        </w:rPr>
        <w:t xml:space="preserve"> роки зростають.</w:t>
      </w:r>
    </w:p>
    <w:p w:rsidR="00C67B41" w:rsidRDefault="00B86012" w:rsidP="00E607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Звертаємо увагу, що прогнозні показники дохідної частини місцевого бюджету на 202</w:t>
      </w:r>
      <w:r w:rsidR="00550E7D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550E7D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роки є не остаточними та можуть змін</w:t>
      </w:r>
      <w:r w:rsidR="00E60769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тися.</w:t>
      </w:r>
    </w:p>
    <w:p w:rsidR="00B86012" w:rsidRDefault="00B86012" w:rsidP="002D64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A66B9" w:rsidRDefault="00CA66B9" w:rsidP="00C67B4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A66B9" w:rsidRDefault="00CA66B9" w:rsidP="00C67B4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67B41" w:rsidRDefault="00C67B41" w:rsidP="00C67B4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7B41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Загальні показники доходів бюджету Лубенської міської територіальної громади</w:t>
      </w:r>
    </w:p>
    <w:p w:rsidR="00C67B41" w:rsidRPr="0025281B" w:rsidRDefault="00C67B41" w:rsidP="00C6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7B41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C67B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67B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67B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67B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67B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67B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67B41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="0025281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Pr="0025281B">
        <w:rPr>
          <w:rFonts w:ascii="Times New Roman" w:hAnsi="Times New Roman" w:cs="Times New Roman"/>
          <w:sz w:val="24"/>
          <w:szCs w:val="24"/>
          <w:lang w:val="uk-UA"/>
        </w:rPr>
        <w:t>тис.грн.</w:t>
      </w:r>
    </w:p>
    <w:tbl>
      <w:tblPr>
        <w:tblStyle w:val="a4"/>
        <w:tblW w:w="10490" w:type="dxa"/>
        <w:tblInd w:w="-459" w:type="dxa"/>
        <w:tblLayout w:type="fixed"/>
        <w:tblLook w:val="04A0"/>
      </w:tblPr>
      <w:tblGrid>
        <w:gridCol w:w="1418"/>
        <w:gridCol w:w="1134"/>
        <w:gridCol w:w="1048"/>
        <w:gridCol w:w="795"/>
        <w:gridCol w:w="1176"/>
        <w:gridCol w:w="1115"/>
        <w:gridCol w:w="827"/>
        <w:gridCol w:w="1162"/>
        <w:gridCol w:w="1092"/>
        <w:gridCol w:w="723"/>
      </w:tblGrid>
      <w:tr w:rsidR="00C67B41" w:rsidTr="004C18C1">
        <w:tc>
          <w:tcPr>
            <w:tcW w:w="1418" w:type="dxa"/>
            <w:vMerge w:val="restart"/>
          </w:tcPr>
          <w:p w:rsidR="00C67B41" w:rsidRPr="007D6639" w:rsidRDefault="00C67B41" w:rsidP="00C67B4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7D6639">
              <w:rPr>
                <w:rFonts w:ascii="Times New Roman" w:hAnsi="Times New Roman" w:cs="Times New Roman"/>
                <w:lang w:val="uk-UA"/>
              </w:rPr>
              <w:t>Найменування показника</w:t>
            </w:r>
          </w:p>
        </w:tc>
        <w:tc>
          <w:tcPr>
            <w:tcW w:w="2977" w:type="dxa"/>
            <w:gridSpan w:val="3"/>
          </w:tcPr>
          <w:p w:rsidR="00C67B41" w:rsidRPr="007D6639" w:rsidRDefault="00C67B41" w:rsidP="00707B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D6639">
              <w:rPr>
                <w:rFonts w:ascii="Times New Roman" w:hAnsi="Times New Roman" w:cs="Times New Roman"/>
                <w:lang w:val="uk-UA"/>
              </w:rPr>
              <w:t>202</w:t>
            </w:r>
            <w:r w:rsidR="00707B10">
              <w:rPr>
                <w:rFonts w:ascii="Times New Roman" w:hAnsi="Times New Roman" w:cs="Times New Roman"/>
                <w:lang w:val="uk-UA"/>
              </w:rPr>
              <w:t>6</w:t>
            </w:r>
            <w:r w:rsidRPr="007D6639">
              <w:rPr>
                <w:rFonts w:ascii="Times New Roman" w:hAnsi="Times New Roman" w:cs="Times New Roman"/>
                <w:lang w:val="uk-UA"/>
              </w:rPr>
              <w:t xml:space="preserve"> рік</w:t>
            </w:r>
          </w:p>
        </w:tc>
        <w:tc>
          <w:tcPr>
            <w:tcW w:w="3118" w:type="dxa"/>
            <w:gridSpan w:val="3"/>
          </w:tcPr>
          <w:p w:rsidR="00C67B41" w:rsidRPr="007D6639" w:rsidRDefault="00C67B41" w:rsidP="00707B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D6639">
              <w:rPr>
                <w:rFonts w:ascii="Times New Roman" w:hAnsi="Times New Roman" w:cs="Times New Roman"/>
                <w:lang w:val="uk-UA"/>
              </w:rPr>
              <w:t>202</w:t>
            </w:r>
            <w:r w:rsidR="00707B10">
              <w:rPr>
                <w:rFonts w:ascii="Times New Roman" w:hAnsi="Times New Roman" w:cs="Times New Roman"/>
                <w:lang w:val="uk-UA"/>
              </w:rPr>
              <w:t>7</w:t>
            </w:r>
            <w:r w:rsidRPr="007D6639">
              <w:rPr>
                <w:rFonts w:ascii="Times New Roman" w:hAnsi="Times New Roman" w:cs="Times New Roman"/>
                <w:lang w:val="uk-UA"/>
              </w:rPr>
              <w:t xml:space="preserve"> рік</w:t>
            </w:r>
          </w:p>
        </w:tc>
        <w:tc>
          <w:tcPr>
            <w:tcW w:w="2977" w:type="dxa"/>
            <w:gridSpan w:val="3"/>
          </w:tcPr>
          <w:p w:rsidR="00C67B41" w:rsidRPr="007D6639" w:rsidRDefault="00C67B41" w:rsidP="00707B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D6639">
              <w:rPr>
                <w:rFonts w:ascii="Times New Roman" w:hAnsi="Times New Roman" w:cs="Times New Roman"/>
                <w:lang w:val="uk-UA"/>
              </w:rPr>
              <w:t>202</w:t>
            </w:r>
            <w:r w:rsidR="00707B10">
              <w:rPr>
                <w:rFonts w:ascii="Times New Roman" w:hAnsi="Times New Roman" w:cs="Times New Roman"/>
                <w:lang w:val="uk-UA"/>
              </w:rPr>
              <w:t>8</w:t>
            </w:r>
            <w:r w:rsidRPr="007D6639">
              <w:rPr>
                <w:rFonts w:ascii="Times New Roman" w:hAnsi="Times New Roman" w:cs="Times New Roman"/>
                <w:lang w:val="uk-UA"/>
              </w:rPr>
              <w:t xml:space="preserve"> рік</w:t>
            </w:r>
          </w:p>
        </w:tc>
      </w:tr>
      <w:tr w:rsidR="009801A0" w:rsidTr="004C18C1">
        <w:tc>
          <w:tcPr>
            <w:tcW w:w="1418" w:type="dxa"/>
            <w:vMerge/>
          </w:tcPr>
          <w:p w:rsidR="00C67B41" w:rsidRPr="007D6639" w:rsidRDefault="00C67B41" w:rsidP="00C67B4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  <w:vMerge w:val="restart"/>
          </w:tcPr>
          <w:p w:rsidR="00C67B41" w:rsidRPr="007D6639" w:rsidRDefault="00C67B41" w:rsidP="00CB5DB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D6639">
              <w:rPr>
                <w:rFonts w:ascii="Times New Roman" w:hAnsi="Times New Roman" w:cs="Times New Roman"/>
                <w:lang w:val="uk-UA"/>
              </w:rPr>
              <w:t>прогноз</w:t>
            </w:r>
          </w:p>
        </w:tc>
        <w:tc>
          <w:tcPr>
            <w:tcW w:w="1843" w:type="dxa"/>
            <w:gridSpan w:val="2"/>
          </w:tcPr>
          <w:p w:rsidR="00C67B41" w:rsidRPr="007D6639" w:rsidRDefault="00C67B41" w:rsidP="00C67B4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7D6639">
              <w:rPr>
                <w:rFonts w:ascii="Times New Roman" w:hAnsi="Times New Roman" w:cs="Times New Roman"/>
                <w:lang w:val="uk-UA"/>
              </w:rPr>
              <w:t>Відхилення до попереднього року</w:t>
            </w:r>
          </w:p>
        </w:tc>
        <w:tc>
          <w:tcPr>
            <w:tcW w:w="1176" w:type="dxa"/>
            <w:vMerge w:val="restart"/>
          </w:tcPr>
          <w:p w:rsidR="00C67B41" w:rsidRPr="007D6639" w:rsidRDefault="00C67B41" w:rsidP="00CB5DB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D6639">
              <w:rPr>
                <w:rFonts w:ascii="Times New Roman" w:hAnsi="Times New Roman" w:cs="Times New Roman"/>
                <w:lang w:val="uk-UA"/>
              </w:rPr>
              <w:t>прогноз</w:t>
            </w:r>
          </w:p>
        </w:tc>
        <w:tc>
          <w:tcPr>
            <w:tcW w:w="1942" w:type="dxa"/>
            <w:gridSpan w:val="2"/>
          </w:tcPr>
          <w:p w:rsidR="00C67B41" w:rsidRPr="007D6639" w:rsidRDefault="00C67B41" w:rsidP="00C67B4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7D6639">
              <w:rPr>
                <w:rFonts w:ascii="Times New Roman" w:hAnsi="Times New Roman" w:cs="Times New Roman"/>
                <w:lang w:val="uk-UA"/>
              </w:rPr>
              <w:t>Відхилення до попереднього року</w:t>
            </w:r>
          </w:p>
        </w:tc>
        <w:tc>
          <w:tcPr>
            <w:tcW w:w="1162" w:type="dxa"/>
            <w:vMerge w:val="restart"/>
          </w:tcPr>
          <w:p w:rsidR="00C67B41" w:rsidRPr="007D6639" w:rsidRDefault="00C67B41" w:rsidP="00CB5DB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D6639">
              <w:rPr>
                <w:rFonts w:ascii="Times New Roman" w:hAnsi="Times New Roman" w:cs="Times New Roman"/>
                <w:lang w:val="uk-UA"/>
              </w:rPr>
              <w:t>прогноз</w:t>
            </w:r>
          </w:p>
        </w:tc>
        <w:tc>
          <w:tcPr>
            <w:tcW w:w="1815" w:type="dxa"/>
            <w:gridSpan w:val="2"/>
          </w:tcPr>
          <w:p w:rsidR="00C67B41" w:rsidRPr="007D6639" w:rsidRDefault="00C67B41" w:rsidP="00C67B4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7D6639">
              <w:rPr>
                <w:rFonts w:ascii="Times New Roman" w:hAnsi="Times New Roman" w:cs="Times New Roman"/>
                <w:lang w:val="uk-UA"/>
              </w:rPr>
              <w:t>Відхилення до попереднього року</w:t>
            </w:r>
          </w:p>
        </w:tc>
      </w:tr>
      <w:tr w:rsidR="009801A0" w:rsidTr="004C18C1">
        <w:tc>
          <w:tcPr>
            <w:tcW w:w="1418" w:type="dxa"/>
            <w:vMerge/>
          </w:tcPr>
          <w:p w:rsidR="00C67B41" w:rsidRPr="007D6639" w:rsidRDefault="00C67B41" w:rsidP="00C67B4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  <w:vMerge/>
          </w:tcPr>
          <w:p w:rsidR="00C67B41" w:rsidRPr="007D6639" w:rsidRDefault="00C67B41" w:rsidP="00C67B4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48" w:type="dxa"/>
          </w:tcPr>
          <w:p w:rsidR="00C67B41" w:rsidRPr="007D6639" w:rsidRDefault="00C67B41" w:rsidP="00CC2745">
            <w:pPr>
              <w:tabs>
                <w:tab w:val="left" w:pos="794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7D6639">
              <w:rPr>
                <w:rFonts w:ascii="Times New Roman" w:hAnsi="Times New Roman" w:cs="Times New Roman"/>
                <w:lang w:val="uk-UA"/>
              </w:rPr>
              <w:t>+/-</w:t>
            </w:r>
          </w:p>
        </w:tc>
        <w:tc>
          <w:tcPr>
            <w:tcW w:w="795" w:type="dxa"/>
          </w:tcPr>
          <w:p w:rsidR="00C67B41" w:rsidRPr="007D6639" w:rsidRDefault="00C67B41" w:rsidP="00CC27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D6639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1176" w:type="dxa"/>
            <w:vMerge/>
          </w:tcPr>
          <w:p w:rsidR="00C67B41" w:rsidRPr="007D6639" w:rsidRDefault="00C67B41" w:rsidP="00CC27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15" w:type="dxa"/>
          </w:tcPr>
          <w:p w:rsidR="00C67B41" w:rsidRPr="007D6639" w:rsidRDefault="00C67B41" w:rsidP="00CC27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D6639">
              <w:rPr>
                <w:rFonts w:ascii="Times New Roman" w:hAnsi="Times New Roman" w:cs="Times New Roman"/>
                <w:lang w:val="uk-UA"/>
              </w:rPr>
              <w:t>+/-</w:t>
            </w:r>
          </w:p>
        </w:tc>
        <w:tc>
          <w:tcPr>
            <w:tcW w:w="827" w:type="dxa"/>
          </w:tcPr>
          <w:p w:rsidR="00C67B41" w:rsidRPr="007D6639" w:rsidRDefault="00C67B41" w:rsidP="00CC27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D6639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1162" w:type="dxa"/>
            <w:vMerge/>
          </w:tcPr>
          <w:p w:rsidR="00C67B41" w:rsidRPr="007D6639" w:rsidRDefault="00C67B41" w:rsidP="00CC27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92" w:type="dxa"/>
          </w:tcPr>
          <w:p w:rsidR="00C67B41" w:rsidRPr="007D6639" w:rsidRDefault="00C67B41" w:rsidP="00CC27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D6639">
              <w:rPr>
                <w:rFonts w:ascii="Times New Roman" w:hAnsi="Times New Roman" w:cs="Times New Roman"/>
                <w:lang w:val="uk-UA"/>
              </w:rPr>
              <w:t>+/-</w:t>
            </w:r>
          </w:p>
        </w:tc>
        <w:tc>
          <w:tcPr>
            <w:tcW w:w="723" w:type="dxa"/>
          </w:tcPr>
          <w:p w:rsidR="00C67B41" w:rsidRPr="007D6639" w:rsidRDefault="00C67B41" w:rsidP="00C67B4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7D6639">
              <w:rPr>
                <w:rFonts w:ascii="Times New Roman" w:hAnsi="Times New Roman" w:cs="Times New Roman"/>
                <w:lang w:val="uk-UA"/>
              </w:rPr>
              <w:t>%</w:t>
            </w:r>
          </w:p>
        </w:tc>
      </w:tr>
      <w:tr w:rsidR="009801A0" w:rsidTr="004C18C1">
        <w:tc>
          <w:tcPr>
            <w:tcW w:w="1418" w:type="dxa"/>
          </w:tcPr>
          <w:p w:rsidR="00C67B41" w:rsidRPr="007D6639" w:rsidRDefault="00C67B41" w:rsidP="004C18C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7D6639">
              <w:rPr>
                <w:rFonts w:ascii="Times New Roman" w:hAnsi="Times New Roman" w:cs="Times New Roman"/>
                <w:lang w:val="uk-UA"/>
              </w:rPr>
              <w:t xml:space="preserve">Бюджет Лубенської міської територіальної громади (без урахування міжбюджетних </w:t>
            </w:r>
            <w:r w:rsidRPr="004C18C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трансфертів</w:t>
            </w:r>
            <w:r w:rsidR="004C18C1" w:rsidRPr="004C18C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134" w:type="dxa"/>
          </w:tcPr>
          <w:p w:rsidR="00C67B41" w:rsidRPr="007E1289" w:rsidRDefault="00734487" w:rsidP="00000A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E1289">
              <w:rPr>
                <w:rFonts w:ascii="Times New Roman" w:hAnsi="Times New Roman" w:cs="Times New Roman"/>
                <w:lang w:val="uk-UA"/>
              </w:rPr>
              <w:t>69</w:t>
            </w:r>
            <w:r w:rsidR="00000AF5">
              <w:rPr>
                <w:rFonts w:ascii="Times New Roman" w:hAnsi="Times New Roman" w:cs="Times New Roman"/>
                <w:lang w:val="uk-UA"/>
              </w:rPr>
              <w:t>7</w:t>
            </w:r>
            <w:r w:rsidRPr="007E1289">
              <w:rPr>
                <w:rFonts w:ascii="Times New Roman" w:hAnsi="Times New Roman" w:cs="Times New Roman"/>
                <w:lang w:val="uk-UA"/>
              </w:rPr>
              <w:t>772,7</w:t>
            </w:r>
          </w:p>
        </w:tc>
        <w:tc>
          <w:tcPr>
            <w:tcW w:w="1048" w:type="dxa"/>
          </w:tcPr>
          <w:p w:rsidR="00C67B41" w:rsidRPr="007E1289" w:rsidRDefault="00734487" w:rsidP="00000A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E1289">
              <w:rPr>
                <w:rFonts w:ascii="Times New Roman" w:hAnsi="Times New Roman" w:cs="Times New Roman"/>
                <w:lang w:val="uk-UA"/>
              </w:rPr>
              <w:t>1</w:t>
            </w:r>
            <w:r w:rsidR="00000AF5">
              <w:rPr>
                <w:rFonts w:ascii="Times New Roman" w:hAnsi="Times New Roman" w:cs="Times New Roman"/>
                <w:lang w:val="uk-UA"/>
              </w:rPr>
              <w:t>9570,8</w:t>
            </w:r>
          </w:p>
        </w:tc>
        <w:tc>
          <w:tcPr>
            <w:tcW w:w="795" w:type="dxa"/>
          </w:tcPr>
          <w:p w:rsidR="00C67B41" w:rsidRPr="007E1289" w:rsidRDefault="00734487" w:rsidP="00000A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E1289">
              <w:rPr>
                <w:rFonts w:ascii="Times New Roman" w:hAnsi="Times New Roman" w:cs="Times New Roman"/>
                <w:lang w:val="uk-UA"/>
              </w:rPr>
              <w:t>102,</w:t>
            </w:r>
            <w:r w:rsidR="00000AF5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1176" w:type="dxa"/>
          </w:tcPr>
          <w:p w:rsidR="00C67B41" w:rsidRPr="007E1289" w:rsidRDefault="00734487" w:rsidP="009801A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E1289">
              <w:rPr>
                <w:rFonts w:ascii="Times New Roman" w:hAnsi="Times New Roman" w:cs="Times New Roman"/>
                <w:lang w:val="uk-UA"/>
              </w:rPr>
              <w:t>728215,5</w:t>
            </w:r>
          </w:p>
        </w:tc>
        <w:tc>
          <w:tcPr>
            <w:tcW w:w="1115" w:type="dxa"/>
          </w:tcPr>
          <w:p w:rsidR="00C67B41" w:rsidRPr="007E1289" w:rsidRDefault="00734487" w:rsidP="00000A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E1289">
              <w:rPr>
                <w:rFonts w:ascii="Times New Roman" w:hAnsi="Times New Roman" w:cs="Times New Roman"/>
                <w:lang w:val="uk-UA"/>
              </w:rPr>
              <w:t>3</w:t>
            </w:r>
            <w:r w:rsidR="00000AF5">
              <w:rPr>
                <w:rFonts w:ascii="Times New Roman" w:hAnsi="Times New Roman" w:cs="Times New Roman"/>
                <w:lang w:val="uk-UA"/>
              </w:rPr>
              <w:t>0</w:t>
            </w:r>
            <w:r w:rsidRPr="007E1289">
              <w:rPr>
                <w:rFonts w:ascii="Times New Roman" w:hAnsi="Times New Roman" w:cs="Times New Roman"/>
                <w:lang w:val="uk-UA"/>
              </w:rPr>
              <w:t>442,8</w:t>
            </w:r>
          </w:p>
        </w:tc>
        <w:tc>
          <w:tcPr>
            <w:tcW w:w="827" w:type="dxa"/>
          </w:tcPr>
          <w:p w:rsidR="00C67B41" w:rsidRPr="007E1289" w:rsidRDefault="00734487" w:rsidP="00000A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E1289">
              <w:rPr>
                <w:rFonts w:ascii="Times New Roman" w:hAnsi="Times New Roman" w:cs="Times New Roman"/>
                <w:lang w:val="uk-UA"/>
              </w:rPr>
              <w:t>10</w:t>
            </w:r>
            <w:r w:rsidR="00000AF5">
              <w:rPr>
                <w:rFonts w:ascii="Times New Roman" w:hAnsi="Times New Roman" w:cs="Times New Roman"/>
                <w:lang w:val="uk-UA"/>
              </w:rPr>
              <w:t>4,4</w:t>
            </w:r>
          </w:p>
        </w:tc>
        <w:tc>
          <w:tcPr>
            <w:tcW w:w="1162" w:type="dxa"/>
          </w:tcPr>
          <w:p w:rsidR="007D6639" w:rsidRPr="007E1289" w:rsidRDefault="00734487" w:rsidP="009801A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E1289">
              <w:rPr>
                <w:rFonts w:ascii="Times New Roman" w:hAnsi="Times New Roman" w:cs="Times New Roman"/>
                <w:lang w:val="uk-UA"/>
              </w:rPr>
              <w:t>724441,0</w:t>
            </w:r>
          </w:p>
        </w:tc>
        <w:tc>
          <w:tcPr>
            <w:tcW w:w="1092" w:type="dxa"/>
          </w:tcPr>
          <w:p w:rsidR="00C67B41" w:rsidRPr="007E1289" w:rsidRDefault="00734487" w:rsidP="009801A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E1289">
              <w:rPr>
                <w:rFonts w:ascii="Times New Roman" w:hAnsi="Times New Roman" w:cs="Times New Roman"/>
                <w:lang w:val="uk-UA"/>
              </w:rPr>
              <w:t>-3774,5</w:t>
            </w:r>
          </w:p>
        </w:tc>
        <w:tc>
          <w:tcPr>
            <w:tcW w:w="723" w:type="dxa"/>
          </w:tcPr>
          <w:p w:rsidR="00C67B41" w:rsidRPr="007E1289" w:rsidRDefault="00734487" w:rsidP="009801A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E1289">
              <w:rPr>
                <w:rFonts w:ascii="Times New Roman" w:hAnsi="Times New Roman" w:cs="Times New Roman"/>
                <w:lang w:val="uk-UA"/>
              </w:rPr>
              <w:t>99,5</w:t>
            </w:r>
          </w:p>
        </w:tc>
      </w:tr>
      <w:tr w:rsidR="009801A0" w:rsidTr="004C18C1">
        <w:tc>
          <w:tcPr>
            <w:tcW w:w="1418" w:type="dxa"/>
          </w:tcPr>
          <w:p w:rsidR="009801A0" w:rsidRDefault="003A5B35" w:rsidP="003A5B35">
            <w:pPr>
              <w:rPr>
                <w:rFonts w:ascii="Times New Roman" w:hAnsi="Times New Roman" w:cs="Times New Roman"/>
                <w:i/>
                <w:lang w:val="uk-UA"/>
              </w:rPr>
            </w:pPr>
            <w:r>
              <w:rPr>
                <w:rFonts w:ascii="Times New Roman" w:hAnsi="Times New Roman" w:cs="Times New Roman"/>
                <w:i/>
                <w:lang w:val="uk-UA"/>
              </w:rPr>
              <w:t>в т.ч.</w:t>
            </w:r>
            <w:r w:rsidR="006505F7">
              <w:rPr>
                <w:rFonts w:ascii="Times New Roman" w:hAnsi="Times New Roman" w:cs="Times New Roman"/>
                <w:i/>
                <w:lang w:val="uk-UA"/>
              </w:rPr>
              <w:t>:</w:t>
            </w:r>
            <w:r>
              <w:rPr>
                <w:rFonts w:ascii="Times New Roman" w:hAnsi="Times New Roman" w:cs="Times New Roman"/>
                <w:i/>
                <w:lang w:val="uk-UA"/>
              </w:rPr>
              <w:t xml:space="preserve"> </w:t>
            </w:r>
          </w:p>
          <w:p w:rsidR="009801A0" w:rsidRDefault="009801A0" w:rsidP="003A5B35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  <w:p w:rsidR="00C67B41" w:rsidRPr="007D6639" w:rsidRDefault="007D6639" w:rsidP="003A5B35">
            <w:pPr>
              <w:rPr>
                <w:rFonts w:ascii="Times New Roman" w:hAnsi="Times New Roman" w:cs="Times New Roman"/>
                <w:i/>
                <w:lang w:val="uk-UA"/>
              </w:rPr>
            </w:pPr>
            <w:r w:rsidRPr="007D6639">
              <w:rPr>
                <w:rFonts w:ascii="Times New Roman" w:hAnsi="Times New Roman" w:cs="Times New Roman"/>
                <w:i/>
                <w:lang w:val="uk-UA"/>
              </w:rPr>
              <w:t>Загальний фонд</w:t>
            </w:r>
          </w:p>
        </w:tc>
        <w:tc>
          <w:tcPr>
            <w:tcW w:w="1134" w:type="dxa"/>
          </w:tcPr>
          <w:p w:rsidR="00C67B41" w:rsidRPr="000615F9" w:rsidRDefault="007E1289" w:rsidP="00000AF5">
            <w:pPr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0615F9">
              <w:rPr>
                <w:rFonts w:ascii="Times New Roman" w:hAnsi="Times New Roman" w:cs="Times New Roman"/>
                <w:i/>
                <w:lang w:val="uk-UA"/>
              </w:rPr>
              <w:t>67</w:t>
            </w:r>
            <w:r w:rsidR="00000AF5">
              <w:rPr>
                <w:rFonts w:ascii="Times New Roman" w:hAnsi="Times New Roman" w:cs="Times New Roman"/>
                <w:i/>
                <w:lang w:val="uk-UA"/>
              </w:rPr>
              <w:t>9</w:t>
            </w:r>
            <w:r w:rsidRPr="000615F9">
              <w:rPr>
                <w:rFonts w:ascii="Times New Roman" w:hAnsi="Times New Roman" w:cs="Times New Roman"/>
                <w:i/>
                <w:lang w:val="uk-UA"/>
              </w:rPr>
              <w:t>821,9</w:t>
            </w:r>
          </w:p>
        </w:tc>
        <w:tc>
          <w:tcPr>
            <w:tcW w:w="1048" w:type="dxa"/>
          </w:tcPr>
          <w:p w:rsidR="00C67B41" w:rsidRPr="000615F9" w:rsidRDefault="00000AF5" w:rsidP="00000AF5">
            <w:pPr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>
              <w:rPr>
                <w:rFonts w:ascii="Times New Roman" w:hAnsi="Times New Roman" w:cs="Times New Roman"/>
                <w:i/>
                <w:lang w:val="uk-UA"/>
              </w:rPr>
              <w:t>22</w:t>
            </w:r>
            <w:r w:rsidR="007E1289" w:rsidRPr="000615F9">
              <w:rPr>
                <w:rFonts w:ascii="Times New Roman" w:hAnsi="Times New Roman" w:cs="Times New Roman"/>
                <w:i/>
                <w:lang w:val="uk-UA"/>
              </w:rPr>
              <w:t>392,1</w:t>
            </w:r>
          </w:p>
        </w:tc>
        <w:tc>
          <w:tcPr>
            <w:tcW w:w="795" w:type="dxa"/>
          </w:tcPr>
          <w:p w:rsidR="00C67B41" w:rsidRPr="000615F9" w:rsidRDefault="007E1289" w:rsidP="00000AF5">
            <w:pPr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0615F9">
              <w:rPr>
                <w:rFonts w:ascii="Times New Roman" w:hAnsi="Times New Roman" w:cs="Times New Roman"/>
                <w:i/>
                <w:lang w:val="uk-UA"/>
              </w:rPr>
              <w:t>10</w:t>
            </w:r>
            <w:r w:rsidR="00000AF5">
              <w:rPr>
                <w:rFonts w:ascii="Times New Roman" w:hAnsi="Times New Roman" w:cs="Times New Roman"/>
                <w:i/>
                <w:lang w:val="uk-UA"/>
              </w:rPr>
              <w:t>3,4</w:t>
            </w:r>
          </w:p>
        </w:tc>
        <w:tc>
          <w:tcPr>
            <w:tcW w:w="1176" w:type="dxa"/>
          </w:tcPr>
          <w:p w:rsidR="00C67B41" w:rsidRPr="000615F9" w:rsidRDefault="007E1289" w:rsidP="009801A0">
            <w:pPr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0615F9">
              <w:rPr>
                <w:rFonts w:ascii="Times New Roman" w:hAnsi="Times New Roman" w:cs="Times New Roman"/>
                <w:i/>
                <w:lang w:val="uk-UA"/>
              </w:rPr>
              <w:t>709763,0</w:t>
            </w:r>
          </w:p>
        </w:tc>
        <w:tc>
          <w:tcPr>
            <w:tcW w:w="1115" w:type="dxa"/>
          </w:tcPr>
          <w:p w:rsidR="00C67B41" w:rsidRPr="000615F9" w:rsidRDefault="00000AF5" w:rsidP="00000AF5">
            <w:pPr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>
              <w:rPr>
                <w:rFonts w:ascii="Times New Roman" w:hAnsi="Times New Roman" w:cs="Times New Roman"/>
                <w:i/>
                <w:lang w:val="uk-UA"/>
              </w:rPr>
              <w:t>29</w:t>
            </w:r>
            <w:r w:rsidR="007E1289" w:rsidRPr="000615F9">
              <w:rPr>
                <w:rFonts w:ascii="Times New Roman" w:hAnsi="Times New Roman" w:cs="Times New Roman"/>
                <w:i/>
                <w:lang w:val="uk-UA"/>
              </w:rPr>
              <w:t>941,1</w:t>
            </w:r>
          </w:p>
        </w:tc>
        <w:tc>
          <w:tcPr>
            <w:tcW w:w="827" w:type="dxa"/>
          </w:tcPr>
          <w:p w:rsidR="00C67B41" w:rsidRPr="000615F9" w:rsidRDefault="007E1289" w:rsidP="00000AF5">
            <w:pPr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0615F9">
              <w:rPr>
                <w:rFonts w:ascii="Times New Roman" w:hAnsi="Times New Roman" w:cs="Times New Roman"/>
                <w:i/>
                <w:lang w:val="uk-UA"/>
              </w:rPr>
              <w:t>10</w:t>
            </w:r>
            <w:r w:rsidR="00000AF5">
              <w:rPr>
                <w:rFonts w:ascii="Times New Roman" w:hAnsi="Times New Roman" w:cs="Times New Roman"/>
                <w:i/>
                <w:lang w:val="uk-UA"/>
              </w:rPr>
              <w:t>4,4</w:t>
            </w:r>
          </w:p>
        </w:tc>
        <w:tc>
          <w:tcPr>
            <w:tcW w:w="1162" w:type="dxa"/>
          </w:tcPr>
          <w:p w:rsidR="00C67B41" w:rsidRPr="000615F9" w:rsidRDefault="007E1289" w:rsidP="009801A0">
            <w:pPr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0615F9">
              <w:rPr>
                <w:rFonts w:ascii="Times New Roman" w:hAnsi="Times New Roman" w:cs="Times New Roman"/>
                <w:i/>
                <w:lang w:val="uk-UA"/>
              </w:rPr>
              <w:t>705912,4</w:t>
            </w:r>
          </w:p>
        </w:tc>
        <w:tc>
          <w:tcPr>
            <w:tcW w:w="1092" w:type="dxa"/>
          </w:tcPr>
          <w:p w:rsidR="00C67B41" w:rsidRPr="000615F9" w:rsidRDefault="007E1289" w:rsidP="009801A0">
            <w:pPr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0615F9">
              <w:rPr>
                <w:rFonts w:ascii="Times New Roman" w:hAnsi="Times New Roman" w:cs="Times New Roman"/>
                <w:i/>
                <w:lang w:val="uk-UA"/>
              </w:rPr>
              <w:t>-3850,6</w:t>
            </w:r>
          </w:p>
        </w:tc>
        <w:tc>
          <w:tcPr>
            <w:tcW w:w="723" w:type="dxa"/>
          </w:tcPr>
          <w:p w:rsidR="00C67B41" w:rsidRPr="000615F9" w:rsidRDefault="007E1289" w:rsidP="009801A0">
            <w:pPr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0615F9">
              <w:rPr>
                <w:rFonts w:ascii="Times New Roman" w:hAnsi="Times New Roman" w:cs="Times New Roman"/>
                <w:i/>
                <w:lang w:val="uk-UA"/>
              </w:rPr>
              <w:t>99,5</w:t>
            </w:r>
          </w:p>
        </w:tc>
      </w:tr>
      <w:tr w:rsidR="009801A0" w:rsidTr="004C18C1">
        <w:tc>
          <w:tcPr>
            <w:tcW w:w="1418" w:type="dxa"/>
          </w:tcPr>
          <w:p w:rsidR="00C67B41" w:rsidRPr="007D6639" w:rsidRDefault="003A5B35" w:rsidP="003A5B35">
            <w:pPr>
              <w:jc w:val="both"/>
              <w:rPr>
                <w:rFonts w:ascii="Times New Roman" w:hAnsi="Times New Roman" w:cs="Times New Roman"/>
                <w:i/>
                <w:lang w:val="uk-UA"/>
              </w:rPr>
            </w:pPr>
            <w:r>
              <w:rPr>
                <w:rFonts w:ascii="Times New Roman" w:hAnsi="Times New Roman" w:cs="Times New Roman"/>
                <w:i/>
                <w:lang w:val="uk-UA"/>
              </w:rPr>
              <w:t>С</w:t>
            </w:r>
            <w:r w:rsidR="007D6639" w:rsidRPr="007D6639">
              <w:rPr>
                <w:rFonts w:ascii="Times New Roman" w:hAnsi="Times New Roman" w:cs="Times New Roman"/>
                <w:i/>
                <w:lang w:val="uk-UA"/>
              </w:rPr>
              <w:t>пеціальний фонд</w:t>
            </w:r>
          </w:p>
        </w:tc>
        <w:tc>
          <w:tcPr>
            <w:tcW w:w="1134" w:type="dxa"/>
          </w:tcPr>
          <w:p w:rsidR="00C67B41" w:rsidRPr="000615F9" w:rsidRDefault="007E1289" w:rsidP="009801A0">
            <w:pPr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0615F9">
              <w:rPr>
                <w:rFonts w:ascii="Times New Roman" w:hAnsi="Times New Roman" w:cs="Times New Roman"/>
                <w:i/>
                <w:lang w:val="uk-UA"/>
              </w:rPr>
              <w:t>17950,8</w:t>
            </w:r>
          </w:p>
        </w:tc>
        <w:tc>
          <w:tcPr>
            <w:tcW w:w="1048" w:type="dxa"/>
          </w:tcPr>
          <w:p w:rsidR="00C67B41" w:rsidRPr="000615F9" w:rsidRDefault="007E1289" w:rsidP="009801A0">
            <w:pPr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0615F9">
              <w:rPr>
                <w:rFonts w:ascii="Times New Roman" w:hAnsi="Times New Roman" w:cs="Times New Roman"/>
                <w:i/>
                <w:lang w:val="uk-UA"/>
              </w:rPr>
              <w:t>-2821,3</w:t>
            </w:r>
          </w:p>
        </w:tc>
        <w:tc>
          <w:tcPr>
            <w:tcW w:w="795" w:type="dxa"/>
          </w:tcPr>
          <w:p w:rsidR="00C67B41" w:rsidRPr="000615F9" w:rsidRDefault="007E1289" w:rsidP="009801A0">
            <w:pPr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0615F9">
              <w:rPr>
                <w:rFonts w:ascii="Times New Roman" w:hAnsi="Times New Roman" w:cs="Times New Roman"/>
                <w:i/>
                <w:lang w:val="uk-UA"/>
              </w:rPr>
              <w:t>86,4</w:t>
            </w:r>
          </w:p>
        </w:tc>
        <w:tc>
          <w:tcPr>
            <w:tcW w:w="1176" w:type="dxa"/>
          </w:tcPr>
          <w:p w:rsidR="00C67B41" w:rsidRPr="000615F9" w:rsidRDefault="007E1289" w:rsidP="009801A0">
            <w:pPr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0615F9">
              <w:rPr>
                <w:rFonts w:ascii="Times New Roman" w:hAnsi="Times New Roman" w:cs="Times New Roman"/>
                <w:i/>
                <w:lang w:val="uk-UA"/>
              </w:rPr>
              <w:t>18452,5</w:t>
            </w:r>
          </w:p>
        </w:tc>
        <w:tc>
          <w:tcPr>
            <w:tcW w:w="1115" w:type="dxa"/>
          </w:tcPr>
          <w:p w:rsidR="00C67B41" w:rsidRPr="000615F9" w:rsidRDefault="007E1289" w:rsidP="009801A0">
            <w:pPr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0615F9">
              <w:rPr>
                <w:rFonts w:ascii="Times New Roman" w:hAnsi="Times New Roman" w:cs="Times New Roman"/>
                <w:i/>
                <w:lang w:val="uk-UA"/>
              </w:rPr>
              <w:t>501,7</w:t>
            </w:r>
          </w:p>
        </w:tc>
        <w:tc>
          <w:tcPr>
            <w:tcW w:w="827" w:type="dxa"/>
          </w:tcPr>
          <w:p w:rsidR="00C67B41" w:rsidRPr="000615F9" w:rsidRDefault="007E1289" w:rsidP="009801A0">
            <w:pPr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0615F9">
              <w:rPr>
                <w:rFonts w:ascii="Times New Roman" w:hAnsi="Times New Roman" w:cs="Times New Roman"/>
                <w:i/>
                <w:lang w:val="uk-UA"/>
              </w:rPr>
              <w:t>102,8</w:t>
            </w:r>
          </w:p>
        </w:tc>
        <w:tc>
          <w:tcPr>
            <w:tcW w:w="1162" w:type="dxa"/>
          </w:tcPr>
          <w:p w:rsidR="00C67B41" w:rsidRPr="000615F9" w:rsidRDefault="007E1289" w:rsidP="009801A0">
            <w:pPr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0615F9">
              <w:rPr>
                <w:rFonts w:ascii="Times New Roman" w:hAnsi="Times New Roman" w:cs="Times New Roman"/>
                <w:i/>
                <w:lang w:val="uk-UA"/>
              </w:rPr>
              <w:t>18528,6</w:t>
            </w:r>
          </w:p>
        </w:tc>
        <w:tc>
          <w:tcPr>
            <w:tcW w:w="1092" w:type="dxa"/>
          </w:tcPr>
          <w:p w:rsidR="00C67B41" w:rsidRPr="000615F9" w:rsidRDefault="007E1289" w:rsidP="009801A0">
            <w:pPr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0615F9">
              <w:rPr>
                <w:rFonts w:ascii="Times New Roman" w:hAnsi="Times New Roman" w:cs="Times New Roman"/>
                <w:i/>
                <w:lang w:val="uk-UA"/>
              </w:rPr>
              <w:t>76,1</w:t>
            </w:r>
          </w:p>
        </w:tc>
        <w:tc>
          <w:tcPr>
            <w:tcW w:w="723" w:type="dxa"/>
          </w:tcPr>
          <w:p w:rsidR="007D6639" w:rsidRPr="000615F9" w:rsidRDefault="007E1289" w:rsidP="009801A0">
            <w:pPr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0615F9">
              <w:rPr>
                <w:rFonts w:ascii="Times New Roman" w:hAnsi="Times New Roman" w:cs="Times New Roman"/>
                <w:i/>
                <w:lang w:val="uk-UA"/>
              </w:rPr>
              <w:t>100,4</w:t>
            </w:r>
          </w:p>
        </w:tc>
      </w:tr>
    </w:tbl>
    <w:p w:rsidR="004A78EC" w:rsidRDefault="004A78EC" w:rsidP="004A78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78EC" w:rsidRDefault="004A78EC" w:rsidP="004A78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78EC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6120765" cy="3296963"/>
            <wp:effectExtent l="19050" t="0" r="13335" b="0"/>
            <wp:docPr id="5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4A78EC" w:rsidRDefault="004A78EC" w:rsidP="001159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3AC4" w:rsidRPr="00C67B41" w:rsidRDefault="00BA4A9B" w:rsidP="001159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Розрахунок показників місцевого бюджету на середньост</w:t>
      </w:r>
      <w:r w:rsidR="00B12B73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оковий період</w:t>
      </w:r>
      <w:r w:rsidR="00B12B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наве</w:t>
      </w:r>
      <w:r w:rsidR="00653AC4">
        <w:rPr>
          <w:rFonts w:ascii="Times New Roman" w:hAnsi="Times New Roman" w:cs="Times New Roman"/>
          <w:sz w:val="28"/>
          <w:szCs w:val="28"/>
          <w:lang w:val="uk-UA"/>
        </w:rPr>
        <w:t xml:space="preserve">дено в додатку </w:t>
      </w:r>
      <w:r w:rsidR="00D171B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F31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3AC4">
        <w:rPr>
          <w:rFonts w:ascii="Times New Roman" w:hAnsi="Times New Roman" w:cs="Times New Roman"/>
          <w:sz w:val="28"/>
          <w:szCs w:val="28"/>
          <w:lang w:val="uk-UA"/>
        </w:rPr>
        <w:t>до Прогнозу місцевого бюджету.</w:t>
      </w:r>
    </w:p>
    <w:p w:rsidR="00653AC4" w:rsidRDefault="00653AC4" w:rsidP="00B12B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78EC" w:rsidRDefault="004A78EC" w:rsidP="00881BD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78EC" w:rsidRDefault="004A78EC" w:rsidP="00881BD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1BDB" w:rsidRPr="00881BDB" w:rsidRDefault="00653AC4" w:rsidP="00881BD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1BDB">
        <w:rPr>
          <w:rFonts w:ascii="Times New Roman" w:hAnsi="Times New Roman" w:cs="Times New Roman"/>
          <w:b/>
          <w:sz w:val="28"/>
          <w:szCs w:val="28"/>
        </w:rPr>
        <w:lastRenderedPageBreak/>
        <w:t>ІV. Показники доході</w:t>
      </w:r>
      <w:proofErr w:type="gramStart"/>
      <w:r w:rsidRPr="00881BDB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881BDB">
        <w:rPr>
          <w:rFonts w:ascii="Times New Roman" w:hAnsi="Times New Roman" w:cs="Times New Roman"/>
          <w:b/>
          <w:sz w:val="28"/>
          <w:szCs w:val="28"/>
        </w:rPr>
        <w:t xml:space="preserve"> бюджету</w:t>
      </w:r>
    </w:p>
    <w:p w:rsidR="00881BDB" w:rsidRDefault="00653AC4" w:rsidP="00796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9A5">
        <w:rPr>
          <w:rFonts w:ascii="Times New Roman" w:hAnsi="Times New Roman" w:cs="Times New Roman"/>
          <w:sz w:val="28"/>
          <w:szCs w:val="28"/>
        </w:rPr>
        <w:t>Прогноз дохідної частини бюджету громади розроблено відповідно до норм бюджетно</w:t>
      </w:r>
      <w:r w:rsidR="00A76BA2">
        <w:rPr>
          <w:rFonts w:ascii="Times New Roman" w:hAnsi="Times New Roman" w:cs="Times New Roman"/>
          <w:sz w:val="28"/>
          <w:szCs w:val="28"/>
          <w:lang w:val="uk-UA"/>
        </w:rPr>
        <w:t xml:space="preserve">го та </w:t>
      </w:r>
      <w:r w:rsidRPr="00A949A5">
        <w:rPr>
          <w:rFonts w:ascii="Times New Roman" w:hAnsi="Times New Roman" w:cs="Times New Roman"/>
          <w:sz w:val="28"/>
          <w:szCs w:val="28"/>
        </w:rPr>
        <w:t xml:space="preserve">податкового законодавства, основних прогнозних макропоказників економічного і </w:t>
      </w:r>
      <w:proofErr w:type="gramStart"/>
      <w:r w:rsidRPr="00A949A5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A949A5">
        <w:rPr>
          <w:rFonts w:ascii="Times New Roman" w:hAnsi="Times New Roman" w:cs="Times New Roman"/>
          <w:sz w:val="28"/>
          <w:szCs w:val="28"/>
        </w:rPr>
        <w:t xml:space="preserve">іального розвитку України та </w:t>
      </w:r>
      <w:r w:rsidR="00881BDB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Pr="00A949A5">
        <w:rPr>
          <w:rFonts w:ascii="Times New Roman" w:hAnsi="Times New Roman" w:cs="Times New Roman"/>
          <w:sz w:val="28"/>
          <w:szCs w:val="28"/>
        </w:rPr>
        <w:t>, особливостей податкової політики, передбачених Бюджетною декларацією на 202</w:t>
      </w:r>
      <w:r w:rsidR="00245664">
        <w:rPr>
          <w:rFonts w:ascii="Times New Roman" w:hAnsi="Times New Roman" w:cs="Times New Roman"/>
          <w:sz w:val="28"/>
          <w:szCs w:val="28"/>
          <w:lang w:val="uk-UA"/>
        </w:rPr>
        <w:t>6-</w:t>
      </w:r>
      <w:r w:rsidRPr="00A949A5">
        <w:rPr>
          <w:rFonts w:ascii="Times New Roman" w:hAnsi="Times New Roman" w:cs="Times New Roman"/>
          <w:sz w:val="28"/>
          <w:szCs w:val="28"/>
        </w:rPr>
        <w:t>202</w:t>
      </w:r>
      <w:r w:rsidR="00245664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A949A5">
        <w:rPr>
          <w:rFonts w:ascii="Times New Roman" w:hAnsi="Times New Roman" w:cs="Times New Roman"/>
          <w:sz w:val="28"/>
          <w:szCs w:val="28"/>
        </w:rPr>
        <w:t xml:space="preserve"> роки, положень нормативно-правових актів міської ради про встановлення місцевих податків і зборів</w:t>
      </w:r>
      <w:r w:rsidR="00E56451">
        <w:rPr>
          <w:rFonts w:ascii="Times New Roman" w:hAnsi="Times New Roman" w:cs="Times New Roman"/>
          <w:sz w:val="28"/>
          <w:szCs w:val="28"/>
          <w:lang w:val="uk-UA"/>
        </w:rPr>
        <w:t xml:space="preserve"> та пільг.</w:t>
      </w:r>
      <w:r w:rsidRPr="00A949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6BA2" w:rsidRDefault="00653AC4" w:rsidP="00796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1BDB">
        <w:rPr>
          <w:rFonts w:ascii="Times New Roman" w:hAnsi="Times New Roman" w:cs="Times New Roman"/>
          <w:sz w:val="28"/>
          <w:szCs w:val="28"/>
          <w:lang w:val="uk-UA"/>
        </w:rPr>
        <w:t>З метою розширення податкової бази та залучення додаткових надходжень до бюджету громади визначено такі пріоритетні завдання:</w:t>
      </w:r>
    </w:p>
    <w:p w:rsidR="00A76BA2" w:rsidRDefault="00A76BA2" w:rsidP="00796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53AC4" w:rsidRPr="00881BDB">
        <w:rPr>
          <w:rFonts w:ascii="Times New Roman" w:hAnsi="Times New Roman" w:cs="Times New Roman"/>
          <w:sz w:val="28"/>
          <w:szCs w:val="28"/>
          <w:lang w:val="uk-UA"/>
        </w:rPr>
        <w:t xml:space="preserve"> сприяння розвитку бюджетоутворюючих підприємств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76BA2" w:rsidRDefault="00A76BA2" w:rsidP="00796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653AC4" w:rsidRPr="00881BDB">
        <w:rPr>
          <w:rFonts w:ascii="Times New Roman" w:hAnsi="Times New Roman" w:cs="Times New Roman"/>
          <w:sz w:val="28"/>
          <w:szCs w:val="28"/>
          <w:lang w:val="uk-UA"/>
        </w:rPr>
        <w:t>розширенн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653AC4" w:rsidRPr="00881BDB">
        <w:rPr>
          <w:rFonts w:ascii="Times New Roman" w:hAnsi="Times New Roman" w:cs="Times New Roman"/>
          <w:sz w:val="28"/>
          <w:szCs w:val="28"/>
          <w:lang w:val="uk-UA"/>
        </w:rPr>
        <w:t xml:space="preserve"> діючих виробничих потужностей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76BA2" w:rsidRDefault="00A76BA2" w:rsidP="00796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653AC4" w:rsidRPr="00881BDB">
        <w:rPr>
          <w:rFonts w:ascii="Times New Roman" w:hAnsi="Times New Roman" w:cs="Times New Roman"/>
          <w:sz w:val="28"/>
          <w:szCs w:val="28"/>
          <w:lang w:val="uk-UA"/>
        </w:rPr>
        <w:t>збільшенн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653AC4" w:rsidRPr="00881BDB">
        <w:rPr>
          <w:rFonts w:ascii="Times New Roman" w:hAnsi="Times New Roman" w:cs="Times New Roman"/>
          <w:sz w:val="28"/>
          <w:szCs w:val="28"/>
          <w:lang w:val="uk-UA"/>
        </w:rPr>
        <w:t xml:space="preserve"> виробництва продукції; </w:t>
      </w:r>
    </w:p>
    <w:p w:rsidR="00A76BA2" w:rsidRDefault="00A76BA2" w:rsidP="00796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653AC4" w:rsidRPr="00881BDB">
        <w:rPr>
          <w:rFonts w:ascii="Times New Roman" w:hAnsi="Times New Roman" w:cs="Times New Roman"/>
          <w:sz w:val="28"/>
          <w:szCs w:val="28"/>
          <w:lang w:val="uk-UA"/>
        </w:rPr>
        <w:t xml:space="preserve">поліпшення економічних, правових та організаційних умов для залучення інвестиційних ресурсів та задіяння земельного потенціалу громади; </w:t>
      </w:r>
    </w:p>
    <w:p w:rsidR="00881BDB" w:rsidRDefault="00A76BA2" w:rsidP="00796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653AC4" w:rsidRPr="00881BDB">
        <w:rPr>
          <w:rFonts w:ascii="Times New Roman" w:hAnsi="Times New Roman" w:cs="Times New Roman"/>
          <w:sz w:val="28"/>
          <w:szCs w:val="28"/>
          <w:lang w:val="uk-UA"/>
        </w:rPr>
        <w:t xml:space="preserve">впровадження заходів, спрямованих 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розвиток </w:t>
      </w:r>
      <w:r w:rsidR="00653AC4" w:rsidRPr="00881BDB">
        <w:rPr>
          <w:rFonts w:ascii="Times New Roman" w:hAnsi="Times New Roman" w:cs="Times New Roman"/>
          <w:sz w:val="28"/>
          <w:szCs w:val="28"/>
          <w:lang w:val="uk-UA"/>
        </w:rPr>
        <w:t xml:space="preserve">підприємницької діяльності, поліпшення бізнес-клімату. </w:t>
      </w:r>
    </w:p>
    <w:p w:rsidR="00E56451" w:rsidRDefault="00653AC4" w:rsidP="00796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451">
        <w:rPr>
          <w:rFonts w:ascii="Times New Roman" w:hAnsi="Times New Roman" w:cs="Times New Roman"/>
          <w:sz w:val="28"/>
          <w:szCs w:val="28"/>
          <w:lang w:val="uk-UA"/>
        </w:rPr>
        <w:t xml:space="preserve">Для виконання пріоритетних завдань передбачається здійснити наступні заходи: </w:t>
      </w:r>
    </w:p>
    <w:p w:rsidR="00E56451" w:rsidRDefault="00653AC4" w:rsidP="00E56451">
      <w:pPr>
        <w:pStyle w:val="ab"/>
        <w:numPr>
          <w:ilvl w:val="0"/>
          <w:numId w:val="1"/>
        </w:numPr>
        <w:spacing w:after="0" w:line="360" w:lineRule="auto"/>
        <w:ind w:left="283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451">
        <w:rPr>
          <w:rFonts w:ascii="Times New Roman" w:hAnsi="Times New Roman" w:cs="Times New Roman"/>
          <w:sz w:val="28"/>
          <w:szCs w:val="28"/>
          <w:lang w:val="uk-UA"/>
        </w:rPr>
        <w:t xml:space="preserve">створити щорічно до </w:t>
      </w:r>
      <w:r w:rsidR="00881BDB" w:rsidRPr="00E5645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E56451">
        <w:rPr>
          <w:rFonts w:ascii="Times New Roman" w:hAnsi="Times New Roman" w:cs="Times New Roman"/>
          <w:sz w:val="28"/>
          <w:szCs w:val="28"/>
          <w:lang w:val="uk-UA"/>
        </w:rPr>
        <w:t xml:space="preserve"> тис. нових робочих місць, провести в установленому порядку перевірки фінансово-господарської діяльності суб’єктів господарювання щодо дотримання норм законодавства</w:t>
      </w:r>
      <w:r w:rsidR="00E56451" w:rsidRPr="00E56451">
        <w:rPr>
          <w:rFonts w:ascii="Times New Roman" w:hAnsi="Times New Roman" w:cs="Times New Roman"/>
          <w:sz w:val="28"/>
          <w:szCs w:val="28"/>
          <w:lang w:val="uk-UA"/>
        </w:rPr>
        <w:t xml:space="preserve"> щодо легалізації працевлаштування працівників та </w:t>
      </w:r>
      <w:r w:rsidRPr="00E56451">
        <w:rPr>
          <w:rFonts w:ascii="Times New Roman" w:hAnsi="Times New Roman" w:cs="Times New Roman"/>
          <w:sz w:val="28"/>
          <w:szCs w:val="28"/>
          <w:lang w:val="uk-UA"/>
        </w:rPr>
        <w:t xml:space="preserve"> в частині оплати праці у розмірі не менш</w:t>
      </w:r>
      <w:r w:rsidR="00E56451" w:rsidRPr="00E56451">
        <w:rPr>
          <w:rFonts w:ascii="Times New Roman" w:hAnsi="Times New Roman" w:cs="Times New Roman"/>
          <w:sz w:val="28"/>
          <w:szCs w:val="28"/>
          <w:lang w:val="uk-UA"/>
        </w:rPr>
        <w:t xml:space="preserve">е мінімальної заробітної плати. </w:t>
      </w:r>
      <w:r w:rsidRPr="00E56451">
        <w:rPr>
          <w:rFonts w:ascii="Times New Roman" w:hAnsi="Times New Roman" w:cs="Times New Roman"/>
          <w:sz w:val="28"/>
          <w:szCs w:val="28"/>
          <w:lang w:val="uk-UA"/>
        </w:rPr>
        <w:t xml:space="preserve">Очікуваний результат – підвищення рівня зайнятості та соціального забезпечення населення, зростання надходжень податку </w:t>
      </w:r>
      <w:r w:rsidR="00E56451" w:rsidRPr="00E56451">
        <w:rPr>
          <w:rFonts w:ascii="Times New Roman" w:hAnsi="Times New Roman" w:cs="Times New Roman"/>
          <w:sz w:val="28"/>
          <w:szCs w:val="28"/>
          <w:lang w:val="uk-UA"/>
        </w:rPr>
        <w:t xml:space="preserve">та збору </w:t>
      </w:r>
      <w:r w:rsidRPr="00E56451">
        <w:rPr>
          <w:rFonts w:ascii="Times New Roman" w:hAnsi="Times New Roman" w:cs="Times New Roman"/>
          <w:sz w:val="28"/>
          <w:szCs w:val="28"/>
          <w:lang w:val="uk-UA"/>
        </w:rPr>
        <w:t xml:space="preserve">на доходи фізичних осіб; </w:t>
      </w:r>
    </w:p>
    <w:p w:rsidR="00E56451" w:rsidRDefault="00653AC4" w:rsidP="00E56451">
      <w:pPr>
        <w:pStyle w:val="ab"/>
        <w:numPr>
          <w:ilvl w:val="0"/>
          <w:numId w:val="1"/>
        </w:numPr>
        <w:spacing w:after="0" w:line="360" w:lineRule="auto"/>
        <w:ind w:left="283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451">
        <w:rPr>
          <w:rFonts w:ascii="Times New Roman" w:hAnsi="Times New Roman" w:cs="Times New Roman"/>
          <w:sz w:val="28"/>
          <w:szCs w:val="28"/>
          <w:lang w:val="uk-UA"/>
        </w:rPr>
        <w:t xml:space="preserve">провести інвентаризацію </w:t>
      </w:r>
      <w:r w:rsidR="00440685" w:rsidRPr="00E56451">
        <w:rPr>
          <w:rFonts w:ascii="Times New Roman" w:hAnsi="Times New Roman" w:cs="Times New Roman"/>
          <w:sz w:val="28"/>
          <w:szCs w:val="28"/>
          <w:lang w:val="uk-UA"/>
        </w:rPr>
        <w:t xml:space="preserve">та незалежний аудит </w:t>
      </w:r>
      <w:r w:rsidRPr="00E56451">
        <w:rPr>
          <w:rFonts w:ascii="Times New Roman" w:hAnsi="Times New Roman" w:cs="Times New Roman"/>
          <w:sz w:val="28"/>
          <w:szCs w:val="28"/>
          <w:lang w:val="uk-UA"/>
        </w:rPr>
        <w:t>земельних ділянок, перегл</w:t>
      </w:r>
      <w:r w:rsidR="00E56451">
        <w:rPr>
          <w:rFonts w:ascii="Times New Roman" w:hAnsi="Times New Roman" w:cs="Times New Roman"/>
          <w:sz w:val="28"/>
          <w:szCs w:val="28"/>
          <w:lang w:val="uk-UA"/>
        </w:rPr>
        <w:t>янути</w:t>
      </w:r>
      <w:r w:rsidRPr="00E56451">
        <w:rPr>
          <w:rFonts w:ascii="Times New Roman" w:hAnsi="Times New Roman" w:cs="Times New Roman"/>
          <w:sz w:val="28"/>
          <w:szCs w:val="28"/>
          <w:lang w:val="uk-UA"/>
        </w:rPr>
        <w:t xml:space="preserve"> укладен</w:t>
      </w:r>
      <w:r w:rsidR="00E5645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56451">
        <w:rPr>
          <w:rFonts w:ascii="Times New Roman" w:hAnsi="Times New Roman" w:cs="Times New Roman"/>
          <w:sz w:val="28"/>
          <w:szCs w:val="28"/>
          <w:lang w:val="uk-UA"/>
        </w:rPr>
        <w:t xml:space="preserve"> договор</w:t>
      </w:r>
      <w:r w:rsidR="00E5645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E56451">
        <w:rPr>
          <w:rFonts w:ascii="Times New Roman" w:hAnsi="Times New Roman" w:cs="Times New Roman"/>
          <w:sz w:val="28"/>
          <w:szCs w:val="28"/>
          <w:lang w:val="uk-UA"/>
        </w:rPr>
        <w:t xml:space="preserve"> оренди земельних ділянок на предмет відповідності розміру орендної плати нормам Податкового кодексу України, що забезпечить задіяння земельного потенціалу громади для залучення інвестицій, збільшення надходжень плати за землю; </w:t>
      </w:r>
    </w:p>
    <w:p w:rsidR="00E56451" w:rsidRDefault="00653AC4" w:rsidP="00E56451">
      <w:pPr>
        <w:pStyle w:val="ab"/>
        <w:numPr>
          <w:ilvl w:val="0"/>
          <w:numId w:val="1"/>
        </w:numPr>
        <w:spacing w:after="0" w:line="360" w:lineRule="auto"/>
        <w:ind w:left="283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451">
        <w:rPr>
          <w:rFonts w:ascii="Times New Roman" w:hAnsi="Times New Roman" w:cs="Times New Roman"/>
          <w:sz w:val="28"/>
          <w:szCs w:val="28"/>
          <w:lang w:val="uk-UA"/>
        </w:rPr>
        <w:lastRenderedPageBreak/>
        <w:t>організ</w:t>
      </w:r>
      <w:r w:rsidR="00E56451">
        <w:rPr>
          <w:rFonts w:ascii="Times New Roman" w:hAnsi="Times New Roman" w:cs="Times New Roman"/>
          <w:sz w:val="28"/>
          <w:szCs w:val="28"/>
          <w:lang w:val="uk-UA"/>
        </w:rPr>
        <w:t xml:space="preserve">увати </w:t>
      </w:r>
      <w:r w:rsidRPr="00E56451">
        <w:rPr>
          <w:rFonts w:ascii="Times New Roman" w:hAnsi="Times New Roman" w:cs="Times New Roman"/>
          <w:sz w:val="28"/>
          <w:szCs w:val="28"/>
          <w:lang w:val="uk-UA"/>
        </w:rPr>
        <w:t xml:space="preserve"> реєстраці</w:t>
      </w:r>
      <w:r w:rsidR="00E56451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E56451">
        <w:rPr>
          <w:rFonts w:ascii="Times New Roman" w:hAnsi="Times New Roman" w:cs="Times New Roman"/>
          <w:sz w:val="28"/>
          <w:szCs w:val="28"/>
          <w:lang w:val="uk-UA"/>
        </w:rPr>
        <w:t xml:space="preserve"> фізичних осіб-підприємців у доступній формі та у найкоротші терміни, що очікувано розширить сфери діяльності малого бізнесу, збільшить надходження єдиного податку; </w:t>
      </w:r>
    </w:p>
    <w:p w:rsidR="00881BDB" w:rsidRPr="00E56451" w:rsidRDefault="00440685" w:rsidP="00E56451">
      <w:pPr>
        <w:pStyle w:val="ab"/>
        <w:numPr>
          <w:ilvl w:val="0"/>
          <w:numId w:val="1"/>
        </w:numPr>
        <w:spacing w:after="0" w:line="360" w:lineRule="auto"/>
        <w:ind w:left="283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451">
        <w:rPr>
          <w:rFonts w:ascii="Times New Roman" w:hAnsi="Times New Roman" w:cs="Times New Roman"/>
          <w:sz w:val="28"/>
          <w:szCs w:val="28"/>
          <w:lang w:val="uk-UA"/>
        </w:rPr>
        <w:t>здійснити</w:t>
      </w:r>
      <w:r w:rsidR="00653AC4" w:rsidRPr="00E56451">
        <w:rPr>
          <w:rFonts w:ascii="Times New Roman" w:hAnsi="Times New Roman" w:cs="Times New Roman"/>
          <w:sz w:val="28"/>
          <w:szCs w:val="28"/>
          <w:lang w:val="uk-UA"/>
        </w:rPr>
        <w:t xml:space="preserve"> моніторинг податкового боргу платників податків до бюджету та </w:t>
      </w:r>
      <w:r w:rsidR="00E56451">
        <w:rPr>
          <w:rFonts w:ascii="Times New Roman" w:hAnsi="Times New Roman" w:cs="Times New Roman"/>
          <w:sz w:val="28"/>
          <w:szCs w:val="28"/>
          <w:lang w:val="uk-UA"/>
        </w:rPr>
        <w:t>активізува</w:t>
      </w:r>
      <w:r w:rsidR="00653AC4" w:rsidRPr="00E56451">
        <w:rPr>
          <w:rFonts w:ascii="Times New Roman" w:hAnsi="Times New Roman" w:cs="Times New Roman"/>
          <w:sz w:val="28"/>
          <w:szCs w:val="28"/>
          <w:lang w:val="uk-UA"/>
        </w:rPr>
        <w:t>ти претензійно-позовну роботу щодо його зменшення.</w:t>
      </w:r>
    </w:p>
    <w:p w:rsidR="000362FF" w:rsidRPr="008230DA" w:rsidRDefault="00653AC4" w:rsidP="007967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881BDB">
        <w:rPr>
          <w:rFonts w:ascii="Times New Roman" w:hAnsi="Times New Roman" w:cs="Times New Roman"/>
          <w:sz w:val="28"/>
          <w:szCs w:val="28"/>
          <w:lang w:val="uk-UA"/>
        </w:rPr>
        <w:t xml:space="preserve">Прогнозні показники доходів бюджету сформовані на основі існуючої податкової бази та реалізації пріоритетних завдань із розширення її потенціалу. </w:t>
      </w:r>
      <w:r w:rsidRPr="00A949A5">
        <w:rPr>
          <w:rFonts w:ascii="Times New Roman" w:hAnsi="Times New Roman" w:cs="Times New Roman"/>
          <w:sz w:val="28"/>
          <w:szCs w:val="28"/>
        </w:rPr>
        <w:t>Показники доході</w:t>
      </w:r>
      <w:proofErr w:type="gramStart"/>
      <w:r w:rsidRPr="00A949A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949A5">
        <w:rPr>
          <w:rFonts w:ascii="Times New Roman" w:hAnsi="Times New Roman" w:cs="Times New Roman"/>
          <w:sz w:val="28"/>
          <w:szCs w:val="28"/>
        </w:rPr>
        <w:t xml:space="preserve"> бюджету громади наведені в додатку 2 до прогнозу бюджету. </w:t>
      </w:r>
      <w:r w:rsidRPr="00263886">
        <w:rPr>
          <w:rFonts w:ascii="Times New Roman" w:hAnsi="Times New Roman" w:cs="Times New Roman"/>
          <w:sz w:val="28"/>
          <w:szCs w:val="28"/>
        </w:rPr>
        <w:t xml:space="preserve">В структурі доходів найбільшу частку становитимуть податкові та неподаткові надходження  </w:t>
      </w:r>
      <w:r w:rsidR="00263886" w:rsidRPr="0026388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263886">
        <w:rPr>
          <w:rFonts w:ascii="Times New Roman" w:hAnsi="Times New Roman" w:cs="Times New Roman"/>
          <w:sz w:val="28"/>
          <w:szCs w:val="28"/>
        </w:rPr>
        <w:t xml:space="preserve"> міжбюджетні трансферти</w:t>
      </w:r>
      <w:proofErr w:type="gramStart"/>
      <w:r w:rsidRPr="0026388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8230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0362FF" w:rsidRDefault="00653AC4" w:rsidP="00796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0685">
        <w:rPr>
          <w:rFonts w:ascii="Times New Roman" w:hAnsi="Times New Roman" w:cs="Times New Roman"/>
          <w:sz w:val="28"/>
          <w:szCs w:val="28"/>
          <w:lang w:val="uk-UA"/>
        </w:rPr>
        <w:t xml:space="preserve">Основним джерелом формування дохідної частини бюджету громади, як і в попередні періоди, залишатиметься податок </w:t>
      </w:r>
      <w:r w:rsidR="00440685">
        <w:rPr>
          <w:rFonts w:ascii="Times New Roman" w:hAnsi="Times New Roman" w:cs="Times New Roman"/>
          <w:sz w:val="28"/>
          <w:szCs w:val="28"/>
          <w:lang w:val="uk-UA"/>
        </w:rPr>
        <w:t xml:space="preserve">та збір </w:t>
      </w:r>
      <w:r w:rsidRPr="00440685">
        <w:rPr>
          <w:rFonts w:ascii="Times New Roman" w:hAnsi="Times New Roman" w:cs="Times New Roman"/>
          <w:sz w:val="28"/>
          <w:szCs w:val="28"/>
          <w:lang w:val="uk-UA"/>
        </w:rPr>
        <w:t>на доходи фізичних осіб</w:t>
      </w:r>
      <w:r w:rsidR="008230D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406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4F01">
        <w:rPr>
          <w:rFonts w:ascii="Times New Roman" w:hAnsi="Times New Roman" w:cs="Times New Roman"/>
          <w:sz w:val="28"/>
          <w:szCs w:val="28"/>
          <w:lang w:val="uk-UA"/>
        </w:rPr>
        <w:t xml:space="preserve">Прогноз надходжень з податку </w:t>
      </w:r>
      <w:r w:rsidR="006F3117">
        <w:rPr>
          <w:rFonts w:ascii="Times New Roman" w:hAnsi="Times New Roman" w:cs="Times New Roman"/>
          <w:sz w:val="28"/>
          <w:szCs w:val="28"/>
          <w:lang w:val="uk-UA"/>
        </w:rPr>
        <w:t xml:space="preserve">та збору </w:t>
      </w:r>
      <w:r w:rsidRPr="00E44F01">
        <w:rPr>
          <w:rFonts w:ascii="Times New Roman" w:hAnsi="Times New Roman" w:cs="Times New Roman"/>
          <w:sz w:val="28"/>
          <w:szCs w:val="28"/>
          <w:lang w:val="uk-UA"/>
        </w:rPr>
        <w:t xml:space="preserve">на доходи фізичних осіб розраховано відповідно до єдиної ставки (18 %) оподаткування доходів фізичних осіб, сталого підвищення мінімальної заробітної плати та прожиткового мінімуму, подальшого зростання середньомісячної заробітної плати найманих працівників шляхом збільшення продуктивності праці, легалізації виплати заробітної плати. </w:t>
      </w:r>
    </w:p>
    <w:p w:rsidR="000362FF" w:rsidRDefault="00653AC4" w:rsidP="00796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3886">
        <w:rPr>
          <w:rFonts w:ascii="Times New Roman" w:hAnsi="Times New Roman" w:cs="Times New Roman"/>
          <w:sz w:val="28"/>
          <w:szCs w:val="28"/>
        </w:rPr>
        <w:t xml:space="preserve">Темпи росту податку </w:t>
      </w:r>
      <w:r w:rsidR="006F3117" w:rsidRPr="00263886">
        <w:rPr>
          <w:rFonts w:ascii="Times New Roman" w:hAnsi="Times New Roman" w:cs="Times New Roman"/>
          <w:sz w:val="28"/>
          <w:szCs w:val="28"/>
          <w:lang w:val="uk-UA"/>
        </w:rPr>
        <w:t xml:space="preserve">та збору </w:t>
      </w:r>
      <w:r w:rsidRPr="00263886">
        <w:rPr>
          <w:rFonts w:ascii="Times New Roman" w:hAnsi="Times New Roman" w:cs="Times New Roman"/>
          <w:sz w:val="28"/>
          <w:szCs w:val="28"/>
        </w:rPr>
        <w:t>на доходи фізичних осіб прогнозуються у 202</w:t>
      </w:r>
      <w:r w:rsidR="00263886" w:rsidRPr="00263886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263886" w:rsidRPr="00263886">
        <w:rPr>
          <w:rFonts w:ascii="Times New Roman" w:hAnsi="Times New Roman" w:cs="Times New Roman"/>
          <w:sz w:val="28"/>
          <w:szCs w:val="28"/>
        </w:rPr>
        <w:t xml:space="preserve"> році на </w:t>
      </w:r>
      <w:r w:rsidRPr="00263886">
        <w:rPr>
          <w:rFonts w:ascii="Times New Roman" w:hAnsi="Times New Roman" w:cs="Times New Roman"/>
          <w:sz w:val="28"/>
          <w:szCs w:val="28"/>
        </w:rPr>
        <w:t xml:space="preserve"> </w:t>
      </w:r>
      <w:r w:rsidR="00263886" w:rsidRPr="00263886">
        <w:rPr>
          <w:rFonts w:ascii="Times New Roman" w:hAnsi="Times New Roman" w:cs="Times New Roman"/>
          <w:sz w:val="28"/>
          <w:szCs w:val="28"/>
          <w:lang w:val="uk-UA"/>
        </w:rPr>
        <w:t>3,5</w:t>
      </w:r>
      <w:r w:rsidR="009E3383" w:rsidRPr="00263886">
        <w:rPr>
          <w:rFonts w:ascii="Times New Roman" w:hAnsi="Times New Roman" w:cs="Times New Roman"/>
          <w:sz w:val="28"/>
          <w:szCs w:val="28"/>
          <w:lang w:val="uk-UA"/>
        </w:rPr>
        <w:t xml:space="preserve"> % до уточненого плану</w:t>
      </w:r>
      <w:r w:rsidRPr="00263886">
        <w:rPr>
          <w:rFonts w:ascii="Times New Roman" w:hAnsi="Times New Roman" w:cs="Times New Roman"/>
          <w:sz w:val="28"/>
          <w:szCs w:val="28"/>
        </w:rPr>
        <w:t>, у 202</w:t>
      </w:r>
      <w:r w:rsidR="00263886" w:rsidRPr="00263886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263886">
        <w:rPr>
          <w:rFonts w:ascii="Times New Roman" w:hAnsi="Times New Roman" w:cs="Times New Roman"/>
          <w:sz w:val="28"/>
          <w:szCs w:val="28"/>
        </w:rPr>
        <w:t xml:space="preserve"> році – на </w:t>
      </w:r>
      <w:r w:rsidR="00263886" w:rsidRPr="00263886">
        <w:rPr>
          <w:rFonts w:ascii="Times New Roman" w:hAnsi="Times New Roman" w:cs="Times New Roman"/>
          <w:sz w:val="28"/>
          <w:szCs w:val="28"/>
          <w:lang w:val="uk-UA"/>
        </w:rPr>
        <w:t>7,6</w:t>
      </w:r>
      <w:r w:rsidRPr="0026388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gramStart"/>
      <w:r w:rsidRPr="00263886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263886">
        <w:rPr>
          <w:rFonts w:ascii="Times New Roman" w:hAnsi="Times New Roman" w:cs="Times New Roman"/>
          <w:sz w:val="28"/>
          <w:szCs w:val="28"/>
        </w:rPr>
        <w:t xml:space="preserve"> 202</w:t>
      </w:r>
      <w:r w:rsidR="00263886" w:rsidRPr="00263886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263886">
        <w:rPr>
          <w:rFonts w:ascii="Times New Roman" w:hAnsi="Times New Roman" w:cs="Times New Roman"/>
          <w:sz w:val="28"/>
          <w:szCs w:val="28"/>
        </w:rPr>
        <w:t xml:space="preserve"> році </w:t>
      </w:r>
      <w:r w:rsidR="00263886" w:rsidRPr="00263886">
        <w:rPr>
          <w:rFonts w:ascii="Times New Roman" w:hAnsi="Times New Roman" w:cs="Times New Roman"/>
          <w:sz w:val="28"/>
          <w:szCs w:val="28"/>
          <w:lang w:val="uk-UA"/>
        </w:rPr>
        <w:t xml:space="preserve">зменшення на 2,8 </w:t>
      </w:r>
      <w:r w:rsidRPr="00263886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7965F5" w:rsidRPr="007965F5" w:rsidRDefault="007965F5" w:rsidP="00796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5F5">
        <w:rPr>
          <w:rFonts w:ascii="Times New Roman" w:hAnsi="Times New Roman" w:cs="Times New Roman"/>
          <w:sz w:val="28"/>
          <w:szCs w:val="28"/>
          <w:lang w:val="uk-UA"/>
        </w:rPr>
        <w:t xml:space="preserve">Водночас </w:t>
      </w:r>
      <w:r w:rsidR="004C18C1">
        <w:rPr>
          <w:rFonts w:ascii="Times New Roman" w:hAnsi="Times New Roman" w:cs="Times New Roman"/>
          <w:sz w:val="28"/>
          <w:szCs w:val="28"/>
          <w:lang w:val="uk-UA"/>
        </w:rPr>
        <w:t>враховано</w:t>
      </w:r>
      <w:r w:rsidRPr="007965F5">
        <w:rPr>
          <w:rFonts w:ascii="Times New Roman" w:hAnsi="Times New Roman" w:cs="Times New Roman"/>
          <w:sz w:val="28"/>
          <w:szCs w:val="28"/>
          <w:lang w:val="uk-UA"/>
        </w:rPr>
        <w:t xml:space="preserve">, що прогнозні показники доходів місцевих бюджетів на середньостроковий період </w:t>
      </w:r>
      <w:r w:rsidR="004C18C1">
        <w:rPr>
          <w:rFonts w:ascii="Times New Roman" w:hAnsi="Times New Roman" w:cs="Times New Roman"/>
          <w:sz w:val="28"/>
          <w:szCs w:val="28"/>
          <w:lang w:val="uk-UA"/>
        </w:rPr>
        <w:t>будуть</w:t>
      </w:r>
      <w:r w:rsidRPr="007965F5">
        <w:rPr>
          <w:rFonts w:ascii="Times New Roman" w:hAnsi="Times New Roman" w:cs="Times New Roman"/>
          <w:sz w:val="28"/>
          <w:szCs w:val="28"/>
          <w:lang w:val="uk-UA"/>
        </w:rPr>
        <w:t xml:space="preserve"> наступні особливості: зупинення тимчасового спрямування до загального фонду бюджетів сільських, селищних, міських територіальних громад податку на доходи фізичних осіб у розмірі</w:t>
      </w:r>
      <w:r w:rsidR="004C18C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7965F5">
        <w:rPr>
          <w:rFonts w:ascii="Times New Roman" w:hAnsi="Times New Roman" w:cs="Times New Roman"/>
          <w:sz w:val="28"/>
          <w:szCs w:val="28"/>
          <w:lang w:val="uk-UA"/>
        </w:rPr>
        <w:t xml:space="preserve"> 4 відсотки за рахунок відповідного зниження нормативу відрахування такого податку до загального фонду державного бюджету; спрямування, починаючи з 2027 року, податку на доходи фізичних осіб з грошового забезпечення військовослужбовців, що сплачується (перераховується) згідно з Податковим кодексом України у розмірі 75 відсотків на відповідній території України </w:t>
      </w:r>
      <w:r w:rsidR="004C18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965F5">
        <w:rPr>
          <w:rFonts w:ascii="Times New Roman" w:hAnsi="Times New Roman" w:cs="Times New Roman"/>
          <w:sz w:val="28"/>
          <w:szCs w:val="28"/>
          <w:lang w:val="uk-UA"/>
        </w:rPr>
        <w:t xml:space="preserve"> до загального фонду місцевих бюджетів</w:t>
      </w:r>
      <w:r w:rsidR="004C18C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6D5F96" w:rsidRDefault="004A78EC" w:rsidP="006D5F96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 w:rsidRPr="004A78EC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6120765" cy="2685455"/>
            <wp:effectExtent l="0" t="0" r="0" b="0"/>
            <wp:docPr id="6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4A78EC" w:rsidRDefault="004A78EC" w:rsidP="006D5F96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</w:p>
    <w:p w:rsidR="000362FF" w:rsidRPr="00263886" w:rsidRDefault="00653AC4" w:rsidP="00796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9A5">
        <w:rPr>
          <w:rFonts w:ascii="Times New Roman" w:hAnsi="Times New Roman" w:cs="Times New Roman"/>
          <w:sz w:val="28"/>
          <w:szCs w:val="28"/>
        </w:rPr>
        <w:t>Єдиний податок – це другий бюджетоутворюючий податок. Прогнозний обсяг єдиного податку на 202</w:t>
      </w:r>
      <w:r w:rsidR="008230DA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A949A5">
        <w:rPr>
          <w:rFonts w:ascii="Times New Roman" w:hAnsi="Times New Roman" w:cs="Times New Roman"/>
          <w:sz w:val="28"/>
          <w:szCs w:val="28"/>
        </w:rPr>
        <w:t>-202</w:t>
      </w:r>
      <w:r w:rsidR="008230DA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A949A5">
        <w:rPr>
          <w:rFonts w:ascii="Times New Roman" w:hAnsi="Times New Roman" w:cs="Times New Roman"/>
          <w:sz w:val="28"/>
          <w:szCs w:val="28"/>
        </w:rPr>
        <w:t xml:space="preserve"> роки розраховано з урахуванням положень Податкового кодексу України, фактичних надходжень, кількості платників, за ставками, встановленими </w:t>
      </w:r>
      <w:proofErr w:type="gramStart"/>
      <w:r w:rsidRPr="00A949A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949A5">
        <w:rPr>
          <w:rFonts w:ascii="Times New Roman" w:hAnsi="Times New Roman" w:cs="Times New Roman"/>
          <w:sz w:val="28"/>
          <w:szCs w:val="28"/>
        </w:rPr>
        <w:t xml:space="preserve">ішенням </w:t>
      </w:r>
      <w:r w:rsidR="000362FF">
        <w:rPr>
          <w:rFonts w:ascii="Times New Roman" w:hAnsi="Times New Roman" w:cs="Times New Roman"/>
          <w:sz w:val="28"/>
          <w:szCs w:val="28"/>
          <w:lang w:val="uk-UA"/>
        </w:rPr>
        <w:t>Лубенської</w:t>
      </w:r>
      <w:r w:rsidRPr="00A949A5">
        <w:rPr>
          <w:rFonts w:ascii="Times New Roman" w:hAnsi="Times New Roman" w:cs="Times New Roman"/>
          <w:sz w:val="28"/>
          <w:szCs w:val="28"/>
        </w:rPr>
        <w:t xml:space="preserve"> міської ради від </w:t>
      </w:r>
      <w:r w:rsidR="000362FF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Pr="00A949A5">
        <w:rPr>
          <w:rFonts w:ascii="Times New Roman" w:hAnsi="Times New Roman" w:cs="Times New Roman"/>
          <w:sz w:val="28"/>
          <w:szCs w:val="28"/>
        </w:rPr>
        <w:t xml:space="preserve"> липня 202</w:t>
      </w:r>
      <w:r w:rsidR="000362FF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0362FF">
        <w:rPr>
          <w:rFonts w:ascii="Times New Roman" w:hAnsi="Times New Roman" w:cs="Times New Roman"/>
          <w:sz w:val="28"/>
          <w:szCs w:val="28"/>
        </w:rPr>
        <w:t xml:space="preserve"> року</w:t>
      </w:r>
      <w:r w:rsidRPr="00A949A5">
        <w:rPr>
          <w:rFonts w:ascii="Times New Roman" w:hAnsi="Times New Roman" w:cs="Times New Roman"/>
          <w:sz w:val="28"/>
          <w:szCs w:val="28"/>
        </w:rPr>
        <w:t xml:space="preserve">. </w:t>
      </w:r>
      <w:r w:rsidR="002638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63886">
        <w:rPr>
          <w:rFonts w:ascii="Times New Roman" w:hAnsi="Times New Roman" w:cs="Times New Roman"/>
          <w:sz w:val="28"/>
          <w:szCs w:val="28"/>
        </w:rPr>
        <w:t xml:space="preserve">Темпи </w:t>
      </w:r>
      <w:r w:rsidR="00263886" w:rsidRPr="002638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63886">
        <w:rPr>
          <w:rFonts w:ascii="Times New Roman" w:hAnsi="Times New Roman" w:cs="Times New Roman"/>
          <w:sz w:val="28"/>
          <w:szCs w:val="28"/>
        </w:rPr>
        <w:t>росту єдиного податку прогнозуються у 202</w:t>
      </w:r>
      <w:r w:rsidR="00263886" w:rsidRPr="00263886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263886">
        <w:rPr>
          <w:rFonts w:ascii="Times New Roman" w:hAnsi="Times New Roman" w:cs="Times New Roman"/>
          <w:sz w:val="28"/>
          <w:szCs w:val="28"/>
        </w:rPr>
        <w:t xml:space="preserve"> році на </w:t>
      </w:r>
      <w:r w:rsidR="00263886" w:rsidRPr="00263886">
        <w:rPr>
          <w:rFonts w:ascii="Times New Roman" w:hAnsi="Times New Roman" w:cs="Times New Roman"/>
          <w:sz w:val="28"/>
          <w:szCs w:val="28"/>
          <w:lang w:val="uk-UA"/>
        </w:rPr>
        <w:t>4,0</w:t>
      </w:r>
      <w:r w:rsidRPr="00263886">
        <w:rPr>
          <w:rFonts w:ascii="Times New Roman" w:hAnsi="Times New Roman" w:cs="Times New Roman"/>
          <w:sz w:val="28"/>
          <w:szCs w:val="28"/>
        </w:rPr>
        <w:t xml:space="preserve"> %, у 202</w:t>
      </w:r>
      <w:r w:rsidR="00263886" w:rsidRPr="00263886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263886">
        <w:rPr>
          <w:rFonts w:ascii="Times New Roman" w:hAnsi="Times New Roman" w:cs="Times New Roman"/>
          <w:sz w:val="28"/>
          <w:szCs w:val="28"/>
        </w:rPr>
        <w:t xml:space="preserve"> році – на </w:t>
      </w:r>
      <w:r w:rsidR="00263886" w:rsidRPr="00263886">
        <w:rPr>
          <w:rFonts w:ascii="Times New Roman" w:hAnsi="Times New Roman" w:cs="Times New Roman"/>
          <w:sz w:val="28"/>
          <w:szCs w:val="28"/>
          <w:lang w:val="uk-UA"/>
        </w:rPr>
        <w:t>2,7</w:t>
      </w:r>
      <w:r w:rsidRPr="00263886">
        <w:rPr>
          <w:rFonts w:ascii="Times New Roman" w:hAnsi="Times New Roman" w:cs="Times New Roman"/>
          <w:sz w:val="28"/>
          <w:szCs w:val="28"/>
        </w:rPr>
        <w:t xml:space="preserve"> % та у 202</w:t>
      </w:r>
      <w:r w:rsidR="00263886" w:rsidRPr="00263886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263886">
        <w:rPr>
          <w:rFonts w:ascii="Times New Roman" w:hAnsi="Times New Roman" w:cs="Times New Roman"/>
          <w:sz w:val="28"/>
          <w:szCs w:val="28"/>
        </w:rPr>
        <w:t xml:space="preserve"> році – </w:t>
      </w:r>
      <w:proofErr w:type="gramStart"/>
      <w:r w:rsidRPr="0026388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63886">
        <w:rPr>
          <w:rFonts w:ascii="Times New Roman" w:hAnsi="Times New Roman" w:cs="Times New Roman"/>
          <w:sz w:val="28"/>
          <w:szCs w:val="28"/>
        </w:rPr>
        <w:t xml:space="preserve"> </w:t>
      </w:r>
      <w:r w:rsidR="00263886" w:rsidRPr="00263886">
        <w:rPr>
          <w:rFonts w:ascii="Times New Roman" w:hAnsi="Times New Roman" w:cs="Times New Roman"/>
          <w:sz w:val="28"/>
          <w:szCs w:val="28"/>
          <w:lang w:val="uk-UA"/>
        </w:rPr>
        <w:t>2,9</w:t>
      </w:r>
      <w:r w:rsidRPr="00263886">
        <w:rPr>
          <w:rFonts w:ascii="Times New Roman" w:hAnsi="Times New Roman" w:cs="Times New Roman"/>
          <w:sz w:val="28"/>
          <w:szCs w:val="28"/>
        </w:rPr>
        <w:t xml:space="preserve"> %. </w:t>
      </w:r>
    </w:p>
    <w:p w:rsidR="003451E5" w:rsidRPr="003451E5" w:rsidRDefault="004A78EC" w:rsidP="003451E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78EC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6119357" cy="3116912"/>
            <wp:effectExtent l="19050" t="0" r="0" b="0"/>
            <wp:docPr id="8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C72B6" w:rsidRPr="00E43FAF" w:rsidRDefault="00653AC4" w:rsidP="00796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9A5">
        <w:rPr>
          <w:rFonts w:ascii="Times New Roman" w:hAnsi="Times New Roman" w:cs="Times New Roman"/>
          <w:sz w:val="28"/>
          <w:szCs w:val="28"/>
        </w:rPr>
        <w:t>Розрахунок прогнозної суми плати за землю на 202</w:t>
      </w:r>
      <w:r w:rsidR="008230DA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A949A5">
        <w:rPr>
          <w:rFonts w:ascii="Times New Roman" w:hAnsi="Times New Roman" w:cs="Times New Roman"/>
          <w:sz w:val="28"/>
          <w:szCs w:val="28"/>
        </w:rPr>
        <w:t>-202</w:t>
      </w:r>
      <w:r w:rsidR="008230DA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A949A5">
        <w:rPr>
          <w:rFonts w:ascii="Times New Roman" w:hAnsi="Times New Roman" w:cs="Times New Roman"/>
          <w:sz w:val="28"/>
          <w:szCs w:val="28"/>
        </w:rPr>
        <w:t xml:space="preserve"> роки проведено за </w:t>
      </w:r>
      <w:proofErr w:type="gramStart"/>
      <w:r w:rsidRPr="00A949A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949A5">
        <w:rPr>
          <w:rFonts w:ascii="Times New Roman" w:hAnsi="Times New Roman" w:cs="Times New Roman"/>
          <w:sz w:val="28"/>
          <w:szCs w:val="28"/>
        </w:rPr>
        <w:t xml:space="preserve">ідсумками фактичних надходжень за попередні роки, </w:t>
      </w:r>
      <w:r w:rsidR="00CC4944">
        <w:rPr>
          <w:rFonts w:ascii="Times New Roman" w:hAnsi="Times New Roman" w:cs="Times New Roman"/>
          <w:sz w:val="28"/>
          <w:szCs w:val="28"/>
          <w:lang w:val="uk-UA"/>
        </w:rPr>
        <w:t>враховуючи ставки та пільги</w:t>
      </w:r>
      <w:r w:rsidRPr="00A949A5">
        <w:rPr>
          <w:rFonts w:ascii="Times New Roman" w:hAnsi="Times New Roman" w:cs="Times New Roman"/>
          <w:sz w:val="28"/>
          <w:szCs w:val="28"/>
        </w:rPr>
        <w:t>, визначен</w:t>
      </w:r>
      <w:r w:rsidR="00CC4944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Pr="00A949A5">
        <w:rPr>
          <w:rFonts w:ascii="Times New Roman" w:hAnsi="Times New Roman" w:cs="Times New Roman"/>
          <w:sz w:val="28"/>
          <w:szCs w:val="28"/>
        </w:rPr>
        <w:t xml:space="preserve">рішеннями міської ради, щодо земельного податку (від </w:t>
      </w:r>
      <w:r w:rsidR="00BC72B6">
        <w:rPr>
          <w:rFonts w:ascii="Times New Roman" w:hAnsi="Times New Roman" w:cs="Times New Roman"/>
          <w:sz w:val="28"/>
          <w:szCs w:val="28"/>
          <w:lang w:val="uk-UA"/>
        </w:rPr>
        <w:t xml:space="preserve">10 </w:t>
      </w:r>
      <w:r w:rsidR="00BC72B6">
        <w:rPr>
          <w:rFonts w:ascii="Times New Roman" w:hAnsi="Times New Roman" w:cs="Times New Roman"/>
          <w:sz w:val="28"/>
          <w:szCs w:val="28"/>
          <w:lang w:val="uk-UA"/>
        </w:rPr>
        <w:lastRenderedPageBreak/>
        <w:t>червня</w:t>
      </w:r>
      <w:r w:rsidRPr="00A949A5">
        <w:rPr>
          <w:rFonts w:ascii="Times New Roman" w:hAnsi="Times New Roman" w:cs="Times New Roman"/>
          <w:sz w:val="28"/>
          <w:szCs w:val="28"/>
        </w:rPr>
        <w:t xml:space="preserve"> 20</w:t>
      </w:r>
      <w:r w:rsidR="00BC72B6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BC72B6">
        <w:rPr>
          <w:rFonts w:ascii="Times New Roman" w:hAnsi="Times New Roman" w:cs="Times New Roman"/>
          <w:sz w:val="28"/>
          <w:szCs w:val="28"/>
        </w:rPr>
        <w:t xml:space="preserve"> року</w:t>
      </w:r>
      <w:r w:rsidRPr="00A949A5">
        <w:rPr>
          <w:rFonts w:ascii="Times New Roman" w:hAnsi="Times New Roman" w:cs="Times New Roman"/>
          <w:sz w:val="28"/>
          <w:szCs w:val="28"/>
        </w:rPr>
        <w:t xml:space="preserve">), з урахуванням перегляду договорів оренди земельних ділянок в частині збільшення розміру орендної плати, поновлення строку дії договорів оренди, прийняття </w:t>
      </w:r>
      <w:proofErr w:type="gramStart"/>
      <w:r w:rsidRPr="00A949A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949A5">
        <w:rPr>
          <w:rFonts w:ascii="Times New Roman" w:hAnsi="Times New Roman" w:cs="Times New Roman"/>
          <w:sz w:val="28"/>
          <w:szCs w:val="28"/>
        </w:rPr>
        <w:t>ішень про встановлення факту користування земельною ділянкою без оформлення правовстановлювальних документів, пог</w:t>
      </w:r>
      <w:r w:rsidR="00BC72B6">
        <w:rPr>
          <w:rFonts w:ascii="Times New Roman" w:hAnsi="Times New Roman" w:cs="Times New Roman"/>
          <w:sz w:val="28"/>
          <w:szCs w:val="28"/>
        </w:rPr>
        <w:t>ашення податкового боргу</w:t>
      </w:r>
      <w:r w:rsidR="00BC72B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949A5">
        <w:rPr>
          <w:rFonts w:ascii="Times New Roman" w:hAnsi="Times New Roman" w:cs="Times New Roman"/>
          <w:sz w:val="28"/>
          <w:szCs w:val="28"/>
        </w:rPr>
        <w:t xml:space="preserve"> </w:t>
      </w:r>
      <w:r w:rsidRPr="00E43FAF">
        <w:rPr>
          <w:rFonts w:ascii="Times New Roman" w:hAnsi="Times New Roman" w:cs="Times New Roman"/>
          <w:sz w:val="28"/>
          <w:szCs w:val="28"/>
        </w:rPr>
        <w:t>Темпи росту з плати за землю прогнозуються у 202</w:t>
      </w:r>
      <w:r w:rsidR="00263886" w:rsidRPr="00E43FAF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E43FAF">
        <w:rPr>
          <w:rFonts w:ascii="Times New Roman" w:hAnsi="Times New Roman" w:cs="Times New Roman"/>
          <w:sz w:val="28"/>
          <w:szCs w:val="28"/>
        </w:rPr>
        <w:t xml:space="preserve"> році на </w:t>
      </w:r>
      <w:proofErr w:type="gramStart"/>
      <w:r w:rsidRPr="00E43FA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43FAF">
        <w:rPr>
          <w:rFonts w:ascii="Times New Roman" w:hAnsi="Times New Roman" w:cs="Times New Roman"/>
          <w:sz w:val="28"/>
          <w:szCs w:val="28"/>
        </w:rPr>
        <w:t xml:space="preserve">івні </w:t>
      </w:r>
      <w:r w:rsidR="00E43FAF" w:rsidRPr="00E43FAF">
        <w:rPr>
          <w:rFonts w:ascii="Times New Roman" w:hAnsi="Times New Roman" w:cs="Times New Roman"/>
          <w:sz w:val="28"/>
          <w:szCs w:val="28"/>
          <w:lang w:val="uk-UA"/>
        </w:rPr>
        <w:t xml:space="preserve">3,7 </w:t>
      </w:r>
      <w:r w:rsidRPr="00E43FAF">
        <w:rPr>
          <w:rFonts w:ascii="Times New Roman" w:hAnsi="Times New Roman" w:cs="Times New Roman"/>
          <w:sz w:val="28"/>
          <w:szCs w:val="28"/>
        </w:rPr>
        <w:t>%, у 202</w:t>
      </w:r>
      <w:r w:rsidR="00E43FAF" w:rsidRPr="00E43FAF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E43FAF">
        <w:rPr>
          <w:rFonts w:ascii="Times New Roman" w:hAnsi="Times New Roman" w:cs="Times New Roman"/>
          <w:sz w:val="28"/>
          <w:szCs w:val="28"/>
        </w:rPr>
        <w:t xml:space="preserve"> році – на </w:t>
      </w:r>
      <w:r w:rsidR="00E43FAF" w:rsidRPr="00E43FAF">
        <w:rPr>
          <w:rFonts w:ascii="Times New Roman" w:hAnsi="Times New Roman" w:cs="Times New Roman"/>
          <w:sz w:val="28"/>
          <w:szCs w:val="28"/>
          <w:lang w:val="uk-UA"/>
        </w:rPr>
        <w:t>2,7</w:t>
      </w:r>
      <w:r w:rsidRPr="00E43FAF">
        <w:rPr>
          <w:rFonts w:ascii="Times New Roman" w:hAnsi="Times New Roman" w:cs="Times New Roman"/>
          <w:sz w:val="28"/>
          <w:szCs w:val="28"/>
        </w:rPr>
        <w:t xml:space="preserve"> %, у 202</w:t>
      </w:r>
      <w:r w:rsidR="00E43FAF" w:rsidRPr="00E43FAF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E43FAF">
        <w:rPr>
          <w:rFonts w:ascii="Times New Roman" w:hAnsi="Times New Roman" w:cs="Times New Roman"/>
          <w:sz w:val="28"/>
          <w:szCs w:val="28"/>
        </w:rPr>
        <w:t xml:space="preserve"> році – на </w:t>
      </w:r>
      <w:r w:rsidR="00BC72B6" w:rsidRPr="00E43FAF">
        <w:rPr>
          <w:rFonts w:ascii="Times New Roman" w:hAnsi="Times New Roman" w:cs="Times New Roman"/>
          <w:sz w:val="28"/>
          <w:szCs w:val="28"/>
          <w:lang w:val="uk-UA"/>
        </w:rPr>
        <w:t>2,9</w:t>
      </w:r>
      <w:r w:rsidRPr="00E43FAF">
        <w:rPr>
          <w:rFonts w:ascii="Times New Roman" w:hAnsi="Times New Roman" w:cs="Times New Roman"/>
          <w:sz w:val="28"/>
          <w:szCs w:val="28"/>
        </w:rPr>
        <w:t xml:space="preserve"> %. </w:t>
      </w:r>
    </w:p>
    <w:p w:rsidR="00BC72B6" w:rsidRDefault="00653AC4" w:rsidP="00796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72B6">
        <w:rPr>
          <w:rFonts w:ascii="Times New Roman" w:hAnsi="Times New Roman" w:cs="Times New Roman"/>
          <w:sz w:val="28"/>
          <w:szCs w:val="28"/>
          <w:lang w:val="uk-UA"/>
        </w:rPr>
        <w:t>Податок на нерухоме майно, відмінне від земельної ділянки, та туристичний збір на 202</w:t>
      </w:r>
      <w:r w:rsidR="008230DA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BC72B6">
        <w:rPr>
          <w:rFonts w:ascii="Times New Roman" w:hAnsi="Times New Roman" w:cs="Times New Roman"/>
          <w:sz w:val="28"/>
          <w:szCs w:val="28"/>
          <w:lang w:val="uk-UA"/>
        </w:rPr>
        <w:t>-2022</w:t>
      </w:r>
      <w:r w:rsidR="008230DA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BC72B6">
        <w:rPr>
          <w:rFonts w:ascii="Times New Roman" w:hAnsi="Times New Roman" w:cs="Times New Roman"/>
          <w:sz w:val="28"/>
          <w:szCs w:val="28"/>
          <w:lang w:val="uk-UA"/>
        </w:rPr>
        <w:t xml:space="preserve"> роки прогнозуються з урахуванням  </w:t>
      </w:r>
      <w:r w:rsidR="008427F6">
        <w:rPr>
          <w:rFonts w:ascii="Times New Roman" w:hAnsi="Times New Roman" w:cs="Times New Roman"/>
          <w:sz w:val="28"/>
          <w:szCs w:val="28"/>
          <w:lang w:val="uk-UA"/>
        </w:rPr>
        <w:t>ставок та пільг</w:t>
      </w:r>
      <w:r w:rsidRPr="00BC72B6">
        <w:rPr>
          <w:rFonts w:ascii="Times New Roman" w:hAnsi="Times New Roman" w:cs="Times New Roman"/>
          <w:sz w:val="28"/>
          <w:szCs w:val="28"/>
          <w:lang w:val="uk-UA"/>
        </w:rPr>
        <w:t xml:space="preserve"> податку, які встановлені рішеннями </w:t>
      </w:r>
      <w:r w:rsidR="00BC72B6">
        <w:rPr>
          <w:rFonts w:ascii="Times New Roman" w:hAnsi="Times New Roman" w:cs="Times New Roman"/>
          <w:sz w:val="28"/>
          <w:szCs w:val="28"/>
          <w:lang w:val="uk-UA"/>
        </w:rPr>
        <w:t>Лубенської</w:t>
      </w:r>
      <w:r w:rsidRPr="00BC72B6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від </w:t>
      </w:r>
      <w:r w:rsidR="000B2903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4C18C1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B2903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C72B6">
        <w:rPr>
          <w:rFonts w:ascii="Times New Roman" w:hAnsi="Times New Roman" w:cs="Times New Roman"/>
          <w:sz w:val="28"/>
          <w:szCs w:val="28"/>
          <w:lang w:val="uk-UA"/>
        </w:rPr>
        <w:t>10 червня</w:t>
      </w:r>
      <w:r w:rsidRPr="00BC72B6">
        <w:rPr>
          <w:rFonts w:ascii="Times New Roman" w:hAnsi="Times New Roman" w:cs="Times New Roman"/>
          <w:sz w:val="28"/>
          <w:szCs w:val="28"/>
          <w:lang w:val="uk-UA"/>
        </w:rPr>
        <w:t xml:space="preserve"> липня 2021 року  та темпів зростання мінімальної заробітної плати. </w:t>
      </w:r>
    </w:p>
    <w:p w:rsidR="009F141F" w:rsidRDefault="004A78EC" w:rsidP="00A2014B">
      <w:pPr>
        <w:spacing w:after="0" w:line="240" w:lineRule="auto"/>
        <w:rPr>
          <w:rFonts w:ascii="Times New Roman" w:hAnsi="Times New Roman" w:cs="Times New Roman"/>
          <w:bCs/>
          <w:noProof/>
          <w:sz w:val="28"/>
          <w:szCs w:val="28"/>
          <w:lang w:val="uk-UA" w:eastAsia="ru-RU"/>
        </w:rPr>
      </w:pPr>
      <w:r w:rsidRPr="004A78EC">
        <w:rPr>
          <w:rFonts w:ascii="Times New Roman" w:hAnsi="Times New Roman" w:cs="Times New Roman"/>
          <w:bCs/>
          <w:noProof/>
          <w:sz w:val="28"/>
          <w:szCs w:val="28"/>
          <w:lang w:val="uk-UA" w:eastAsia="uk-UA"/>
        </w:rPr>
        <w:drawing>
          <wp:inline distT="0" distB="0" distL="0" distR="0">
            <wp:extent cx="6120765" cy="3621037"/>
            <wp:effectExtent l="19050" t="0" r="13335" b="0"/>
            <wp:docPr id="10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A78EC" w:rsidRDefault="004A78EC" w:rsidP="00A2014B">
      <w:pPr>
        <w:spacing w:after="0" w:line="240" w:lineRule="auto"/>
        <w:rPr>
          <w:rFonts w:ascii="Times New Roman" w:hAnsi="Times New Roman" w:cs="Times New Roman"/>
          <w:bCs/>
          <w:noProof/>
          <w:sz w:val="28"/>
          <w:szCs w:val="28"/>
          <w:lang w:val="uk-UA" w:eastAsia="ru-RU"/>
        </w:rPr>
      </w:pPr>
    </w:p>
    <w:p w:rsidR="00BC72B6" w:rsidRDefault="00653AC4" w:rsidP="00796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9A5">
        <w:rPr>
          <w:rFonts w:ascii="Times New Roman" w:hAnsi="Times New Roman" w:cs="Times New Roman"/>
          <w:sz w:val="28"/>
          <w:szCs w:val="28"/>
        </w:rPr>
        <w:t>Прогнозні надходження акцизного податку на 202</w:t>
      </w:r>
      <w:r w:rsidR="008230DA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A949A5">
        <w:rPr>
          <w:rFonts w:ascii="Times New Roman" w:hAnsi="Times New Roman" w:cs="Times New Roman"/>
          <w:sz w:val="28"/>
          <w:szCs w:val="28"/>
        </w:rPr>
        <w:t>-202</w:t>
      </w:r>
      <w:r w:rsidR="008230DA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A949A5">
        <w:rPr>
          <w:rFonts w:ascii="Times New Roman" w:hAnsi="Times New Roman" w:cs="Times New Roman"/>
          <w:sz w:val="28"/>
          <w:szCs w:val="28"/>
        </w:rPr>
        <w:t xml:space="preserve"> роки розраховані виходячи з фактичних надходжень, розширення бази оподаткува</w:t>
      </w:r>
      <w:r w:rsidR="00BC72B6">
        <w:rPr>
          <w:rFonts w:ascii="Times New Roman" w:hAnsi="Times New Roman" w:cs="Times New Roman"/>
          <w:sz w:val="28"/>
          <w:szCs w:val="28"/>
        </w:rPr>
        <w:t xml:space="preserve">ння, за </w:t>
      </w:r>
      <w:r w:rsidRPr="00A949A5">
        <w:rPr>
          <w:rFonts w:ascii="Times New Roman" w:hAnsi="Times New Roman" w:cs="Times New Roman"/>
          <w:sz w:val="28"/>
          <w:szCs w:val="28"/>
        </w:rPr>
        <w:t>ставкою 5 % в частині акцизного податку з реалізації суб'єктами господарювання роздрібної торгі</w:t>
      </w:r>
      <w:proofErr w:type="gramStart"/>
      <w:r w:rsidRPr="00A949A5">
        <w:rPr>
          <w:rFonts w:ascii="Times New Roman" w:hAnsi="Times New Roman" w:cs="Times New Roman"/>
          <w:sz w:val="28"/>
          <w:szCs w:val="28"/>
        </w:rPr>
        <w:t>вл</w:t>
      </w:r>
      <w:proofErr w:type="gramEnd"/>
      <w:r w:rsidRPr="00A949A5">
        <w:rPr>
          <w:rFonts w:ascii="Times New Roman" w:hAnsi="Times New Roman" w:cs="Times New Roman"/>
          <w:sz w:val="28"/>
          <w:szCs w:val="28"/>
        </w:rPr>
        <w:t xml:space="preserve">і підакцизних товарів (пива, алкогольних напоїв, тютюнових виробів, тютюну та промислових замінників тютюну) та з урахуванням вимог діючого законодавства щодо спрямування частини акцизного податку з виробленого в Україні та ввезеного на митну </w:t>
      </w:r>
      <w:r w:rsidRPr="00A949A5">
        <w:rPr>
          <w:rFonts w:ascii="Times New Roman" w:hAnsi="Times New Roman" w:cs="Times New Roman"/>
          <w:sz w:val="28"/>
          <w:szCs w:val="28"/>
        </w:rPr>
        <w:lastRenderedPageBreak/>
        <w:t>територію України пального в розмі</w:t>
      </w:r>
      <w:proofErr w:type="gramStart"/>
      <w:r w:rsidRPr="00A949A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949A5">
        <w:rPr>
          <w:rFonts w:ascii="Times New Roman" w:hAnsi="Times New Roman" w:cs="Times New Roman"/>
          <w:sz w:val="28"/>
          <w:szCs w:val="28"/>
        </w:rPr>
        <w:t xml:space="preserve">і 13,44 відсотка до бюджетів територіальних громад. </w:t>
      </w:r>
    </w:p>
    <w:p w:rsidR="003451E5" w:rsidRDefault="004A78EC" w:rsidP="003451E5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 w:rsidRPr="004A78EC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6120765" cy="3306439"/>
            <wp:effectExtent l="19050" t="0" r="13335" b="8261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C1150" w:rsidRDefault="00653AC4" w:rsidP="00796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1E8B">
        <w:rPr>
          <w:rFonts w:ascii="Times New Roman" w:hAnsi="Times New Roman" w:cs="Times New Roman"/>
          <w:sz w:val="28"/>
          <w:szCs w:val="28"/>
          <w:lang w:val="uk-UA"/>
        </w:rPr>
        <w:t>Впровадження послідовної та передбачуваної податкової політики на території громади в середньостроковому періоді дозволить забезпечити середнь</w:t>
      </w:r>
      <w:r w:rsidR="00E21E8B" w:rsidRPr="00E21E8B">
        <w:rPr>
          <w:rFonts w:ascii="Times New Roman" w:hAnsi="Times New Roman" w:cs="Times New Roman"/>
          <w:sz w:val="28"/>
          <w:szCs w:val="28"/>
          <w:lang w:val="uk-UA"/>
        </w:rPr>
        <w:t>орічний приріст доходів бюджету</w:t>
      </w:r>
      <w:r w:rsidR="00E21E8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21E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1E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1E8B">
        <w:rPr>
          <w:rFonts w:ascii="Times New Roman" w:hAnsi="Times New Roman" w:cs="Times New Roman"/>
          <w:sz w:val="28"/>
          <w:szCs w:val="28"/>
          <w:lang w:val="uk-UA"/>
        </w:rPr>
        <w:t>зростання бюджетоутворю</w:t>
      </w:r>
      <w:r w:rsidR="001C1614">
        <w:rPr>
          <w:rFonts w:ascii="Times New Roman" w:hAnsi="Times New Roman" w:cs="Times New Roman"/>
          <w:sz w:val="28"/>
          <w:szCs w:val="28"/>
          <w:lang w:val="uk-UA"/>
        </w:rPr>
        <w:t>ючих</w:t>
      </w:r>
      <w:r w:rsidRPr="00E21E8B">
        <w:rPr>
          <w:rFonts w:ascii="Times New Roman" w:hAnsi="Times New Roman" w:cs="Times New Roman"/>
          <w:sz w:val="28"/>
          <w:szCs w:val="28"/>
          <w:lang w:val="uk-UA"/>
        </w:rPr>
        <w:t xml:space="preserve"> податків, а саме податку </w:t>
      </w:r>
      <w:r w:rsidR="006F3117">
        <w:rPr>
          <w:rFonts w:ascii="Times New Roman" w:hAnsi="Times New Roman" w:cs="Times New Roman"/>
          <w:sz w:val="28"/>
          <w:szCs w:val="28"/>
          <w:lang w:val="uk-UA"/>
        </w:rPr>
        <w:t xml:space="preserve">та збору </w:t>
      </w:r>
      <w:r w:rsidRPr="00E21E8B">
        <w:rPr>
          <w:rFonts w:ascii="Times New Roman" w:hAnsi="Times New Roman" w:cs="Times New Roman"/>
          <w:sz w:val="28"/>
          <w:szCs w:val="28"/>
          <w:lang w:val="uk-UA"/>
        </w:rPr>
        <w:t>на доходи фізичних осіб, місцевих податків та зборів</w:t>
      </w:r>
      <w:r w:rsidR="00E21E8B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E21E8B">
        <w:rPr>
          <w:rFonts w:ascii="Times New Roman" w:hAnsi="Times New Roman" w:cs="Times New Roman"/>
          <w:sz w:val="28"/>
          <w:szCs w:val="28"/>
          <w:lang w:val="uk-UA"/>
        </w:rPr>
        <w:t xml:space="preserve"> зменшення податкового боргу. </w:t>
      </w:r>
    </w:p>
    <w:sectPr w:rsidR="003C1150" w:rsidSect="002C30E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35762"/>
    <w:multiLevelType w:val="hybridMultilevel"/>
    <w:tmpl w:val="B8369E9C"/>
    <w:lvl w:ilvl="0" w:tplc="5E229550">
      <w:start w:val="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85123B"/>
    <w:multiLevelType w:val="hybridMultilevel"/>
    <w:tmpl w:val="D53CEF44"/>
    <w:lvl w:ilvl="0" w:tplc="04190001">
      <w:start w:val="1"/>
      <w:numFmt w:val="bullet"/>
      <w:lvlText w:val=""/>
      <w:lvlJc w:val="left"/>
      <w:pPr>
        <w:ind w:left="15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4" w:hanging="360"/>
      </w:pPr>
      <w:rPr>
        <w:rFonts w:ascii="Wingdings" w:hAnsi="Wingdings" w:hint="default"/>
      </w:rPr>
    </w:lvl>
  </w:abstractNum>
  <w:abstractNum w:abstractNumId="2">
    <w:nsid w:val="141D3F90"/>
    <w:multiLevelType w:val="hybridMultilevel"/>
    <w:tmpl w:val="688E9A6C"/>
    <w:lvl w:ilvl="0" w:tplc="04190001">
      <w:start w:val="1"/>
      <w:numFmt w:val="bullet"/>
      <w:lvlText w:val=""/>
      <w:lvlJc w:val="left"/>
      <w:pPr>
        <w:ind w:left="18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2" w:hanging="360"/>
      </w:pPr>
      <w:rPr>
        <w:rFonts w:ascii="Wingdings" w:hAnsi="Wingdings" w:hint="default"/>
      </w:rPr>
    </w:lvl>
  </w:abstractNum>
  <w:abstractNum w:abstractNumId="3">
    <w:nsid w:val="1D7D7266"/>
    <w:multiLevelType w:val="hybridMultilevel"/>
    <w:tmpl w:val="A0B0E93E"/>
    <w:lvl w:ilvl="0" w:tplc="04190001">
      <w:start w:val="1"/>
      <w:numFmt w:val="bullet"/>
      <w:lvlText w:val=""/>
      <w:lvlJc w:val="left"/>
      <w:pPr>
        <w:ind w:left="18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2" w:hanging="360"/>
      </w:pPr>
      <w:rPr>
        <w:rFonts w:ascii="Wingdings" w:hAnsi="Wingdings" w:hint="default"/>
      </w:rPr>
    </w:lvl>
  </w:abstractNum>
  <w:abstractNum w:abstractNumId="4">
    <w:nsid w:val="37810851"/>
    <w:multiLevelType w:val="hybridMultilevel"/>
    <w:tmpl w:val="73642DB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5528E3"/>
    <w:multiLevelType w:val="hybridMultilevel"/>
    <w:tmpl w:val="BA98C91A"/>
    <w:lvl w:ilvl="0" w:tplc="D6DC66AE">
      <w:start w:val="2027"/>
      <w:numFmt w:val="bullet"/>
      <w:lvlText w:val="-"/>
      <w:lvlJc w:val="left"/>
      <w:pPr>
        <w:ind w:left="81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>
    <w:nsid w:val="41A63954"/>
    <w:multiLevelType w:val="hybridMultilevel"/>
    <w:tmpl w:val="F138B1CA"/>
    <w:lvl w:ilvl="0" w:tplc="04190001">
      <w:start w:val="1"/>
      <w:numFmt w:val="bullet"/>
      <w:lvlText w:val=""/>
      <w:lvlJc w:val="left"/>
      <w:pPr>
        <w:ind w:left="18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7" w:hanging="360"/>
      </w:pPr>
      <w:rPr>
        <w:rFonts w:ascii="Wingdings" w:hAnsi="Wingdings" w:hint="default"/>
      </w:rPr>
    </w:lvl>
  </w:abstractNum>
  <w:abstractNum w:abstractNumId="7">
    <w:nsid w:val="45B27B01"/>
    <w:multiLevelType w:val="hybridMultilevel"/>
    <w:tmpl w:val="37EE0ADC"/>
    <w:lvl w:ilvl="0" w:tplc="04190001">
      <w:start w:val="1"/>
      <w:numFmt w:val="bullet"/>
      <w:lvlText w:val=""/>
      <w:lvlJc w:val="left"/>
      <w:pPr>
        <w:ind w:left="18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7" w:hanging="360"/>
      </w:pPr>
      <w:rPr>
        <w:rFonts w:ascii="Wingdings" w:hAnsi="Wingdings" w:hint="default"/>
      </w:rPr>
    </w:lvl>
  </w:abstractNum>
  <w:abstractNum w:abstractNumId="8">
    <w:nsid w:val="58161704"/>
    <w:multiLevelType w:val="hybridMultilevel"/>
    <w:tmpl w:val="694CF0F0"/>
    <w:lvl w:ilvl="0" w:tplc="0419000B">
      <w:start w:val="1"/>
      <w:numFmt w:val="bullet"/>
      <w:lvlText w:val=""/>
      <w:lvlJc w:val="left"/>
      <w:pPr>
        <w:ind w:left="189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7" w:hanging="360"/>
      </w:pPr>
      <w:rPr>
        <w:rFonts w:ascii="Wingdings" w:hAnsi="Wingdings" w:hint="default"/>
      </w:rPr>
    </w:lvl>
  </w:abstractNum>
  <w:abstractNum w:abstractNumId="9">
    <w:nsid w:val="60283CBA"/>
    <w:multiLevelType w:val="hybridMultilevel"/>
    <w:tmpl w:val="BC56E750"/>
    <w:lvl w:ilvl="0" w:tplc="7F4045BC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63284C8D"/>
    <w:multiLevelType w:val="hybridMultilevel"/>
    <w:tmpl w:val="158AC3CC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1E39AC"/>
    <w:multiLevelType w:val="hybridMultilevel"/>
    <w:tmpl w:val="09C4DE88"/>
    <w:lvl w:ilvl="0" w:tplc="1EFE53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CAC4204"/>
    <w:multiLevelType w:val="hybridMultilevel"/>
    <w:tmpl w:val="952AFAE8"/>
    <w:lvl w:ilvl="0" w:tplc="04190001">
      <w:start w:val="1"/>
      <w:numFmt w:val="bullet"/>
      <w:lvlText w:val=""/>
      <w:lvlJc w:val="left"/>
      <w:pPr>
        <w:ind w:left="18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2" w:hanging="360"/>
      </w:pPr>
      <w:rPr>
        <w:rFonts w:ascii="Wingdings" w:hAnsi="Wingdings" w:hint="default"/>
      </w:rPr>
    </w:lvl>
  </w:abstractNum>
  <w:abstractNum w:abstractNumId="13">
    <w:nsid w:val="7E421038"/>
    <w:multiLevelType w:val="hybridMultilevel"/>
    <w:tmpl w:val="AD80AE9A"/>
    <w:lvl w:ilvl="0" w:tplc="04190001">
      <w:start w:val="1"/>
      <w:numFmt w:val="bullet"/>
      <w:lvlText w:val=""/>
      <w:lvlJc w:val="left"/>
      <w:pPr>
        <w:ind w:left="18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11"/>
  </w:num>
  <w:num w:numId="5">
    <w:abstractNumId w:val="10"/>
  </w:num>
  <w:num w:numId="6">
    <w:abstractNumId w:val="1"/>
  </w:num>
  <w:num w:numId="7">
    <w:abstractNumId w:val="13"/>
  </w:num>
  <w:num w:numId="8">
    <w:abstractNumId w:val="12"/>
  </w:num>
  <w:num w:numId="9">
    <w:abstractNumId w:val="3"/>
  </w:num>
  <w:num w:numId="10">
    <w:abstractNumId w:val="2"/>
  </w:num>
  <w:num w:numId="11">
    <w:abstractNumId w:val="7"/>
  </w:num>
  <w:num w:numId="12">
    <w:abstractNumId w:val="6"/>
  </w:num>
  <w:num w:numId="13">
    <w:abstractNumId w:val="8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hyphenationZone w:val="425"/>
  <w:characterSpacingControl w:val="doNotCompress"/>
  <w:compat/>
  <w:rsids>
    <w:rsidRoot w:val="00711D23"/>
    <w:rsid w:val="00000AF5"/>
    <w:rsid w:val="00003419"/>
    <w:rsid w:val="00005F7F"/>
    <w:rsid w:val="000362FF"/>
    <w:rsid w:val="000518A1"/>
    <w:rsid w:val="00056673"/>
    <w:rsid w:val="000615F9"/>
    <w:rsid w:val="000634D6"/>
    <w:rsid w:val="000654CF"/>
    <w:rsid w:val="00084B6D"/>
    <w:rsid w:val="0009450E"/>
    <w:rsid w:val="0009481E"/>
    <w:rsid w:val="000B2903"/>
    <w:rsid w:val="000B3045"/>
    <w:rsid w:val="000C0960"/>
    <w:rsid w:val="000C4890"/>
    <w:rsid w:val="000E7AE7"/>
    <w:rsid w:val="000F4609"/>
    <w:rsid w:val="000F4969"/>
    <w:rsid w:val="00107070"/>
    <w:rsid w:val="00112E1B"/>
    <w:rsid w:val="001159C9"/>
    <w:rsid w:val="00146358"/>
    <w:rsid w:val="00156083"/>
    <w:rsid w:val="001739B6"/>
    <w:rsid w:val="0018117E"/>
    <w:rsid w:val="001A0FA1"/>
    <w:rsid w:val="001C1614"/>
    <w:rsid w:val="001C28C2"/>
    <w:rsid w:val="001D4E52"/>
    <w:rsid w:val="001E6622"/>
    <w:rsid w:val="0020701A"/>
    <w:rsid w:val="00213630"/>
    <w:rsid w:val="00245664"/>
    <w:rsid w:val="0025281B"/>
    <w:rsid w:val="00263886"/>
    <w:rsid w:val="002649F8"/>
    <w:rsid w:val="00272ADE"/>
    <w:rsid w:val="0028793B"/>
    <w:rsid w:val="002C30E2"/>
    <w:rsid w:val="002C7598"/>
    <w:rsid w:val="002D310C"/>
    <w:rsid w:val="002D6459"/>
    <w:rsid w:val="00302E41"/>
    <w:rsid w:val="003118F9"/>
    <w:rsid w:val="003451E5"/>
    <w:rsid w:val="003533EB"/>
    <w:rsid w:val="00366822"/>
    <w:rsid w:val="003A5B35"/>
    <w:rsid w:val="003A614F"/>
    <w:rsid w:val="003C1150"/>
    <w:rsid w:val="003C2AA7"/>
    <w:rsid w:val="003C67D0"/>
    <w:rsid w:val="003D50AD"/>
    <w:rsid w:val="003F77CB"/>
    <w:rsid w:val="0040661F"/>
    <w:rsid w:val="00412741"/>
    <w:rsid w:val="00414D4E"/>
    <w:rsid w:val="0041783D"/>
    <w:rsid w:val="00420A18"/>
    <w:rsid w:val="00422749"/>
    <w:rsid w:val="004320C8"/>
    <w:rsid w:val="004360BA"/>
    <w:rsid w:val="00440685"/>
    <w:rsid w:val="00454DE8"/>
    <w:rsid w:val="00470FF9"/>
    <w:rsid w:val="00482021"/>
    <w:rsid w:val="004A78EC"/>
    <w:rsid w:val="004B72B7"/>
    <w:rsid w:val="004C18C1"/>
    <w:rsid w:val="005142D2"/>
    <w:rsid w:val="005179FB"/>
    <w:rsid w:val="0052702C"/>
    <w:rsid w:val="00530857"/>
    <w:rsid w:val="005373EE"/>
    <w:rsid w:val="00544D92"/>
    <w:rsid w:val="00550010"/>
    <w:rsid w:val="00550E7D"/>
    <w:rsid w:val="0055137D"/>
    <w:rsid w:val="0056008B"/>
    <w:rsid w:val="0056364F"/>
    <w:rsid w:val="00570982"/>
    <w:rsid w:val="00585F04"/>
    <w:rsid w:val="005A01EA"/>
    <w:rsid w:val="005C67EE"/>
    <w:rsid w:val="005E59FF"/>
    <w:rsid w:val="005E5E63"/>
    <w:rsid w:val="00606AEE"/>
    <w:rsid w:val="0061378E"/>
    <w:rsid w:val="00635578"/>
    <w:rsid w:val="006505F7"/>
    <w:rsid w:val="00653AC4"/>
    <w:rsid w:val="0068252D"/>
    <w:rsid w:val="006D5F96"/>
    <w:rsid w:val="006E1248"/>
    <w:rsid w:val="006F3117"/>
    <w:rsid w:val="00707B10"/>
    <w:rsid w:val="00711BEC"/>
    <w:rsid w:val="00711D23"/>
    <w:rsid w:val="00730836"/>
    <w:rsid w:val="00734487"/>
    <w:rsid w:val="0073794F"/>
    <w:rsid w:val="00744F84"/>
    <w:rsid w:val="007453D5"/>
    <w:rsid w:val="00751B5E"/>
    <w:rsid w:val="00782D2B"/>
    <w:rsid w:val="00787BBC"/>
    <w:rsid w:val="007965F5"/>
    <w:rsid w:val="00796739"/>
    <w:rsid w:val="007B66C0"/>
    <w:rsid w:val="007C3ADA"/>
    <w:rsid w:val="007C4192"/>
    <w:rsid w:val="007C7BAE"/>
    <w:rsid w:val="007D6639"/>
    <w:rsid w:val="007E1289"/>
    <w:rsid w:val="007E3E0A"/>
    <w:rsid w:val="00810DCC"/>
    <w:rsid w:val="008230DA"/>
    <w:rsid w:val="00831E37"/>
    <w:rsid w:val="0083236C"/>
    <w:rsid w:val="00834499"/>
    <w:rsid w:val="008427F6"/>
    <w:rsid w:val="00862249"/>
    <w:rsid w:val="00863A9C"/>
    <w:rsid w:val="00876A14"/>
    <w:rsid w:val="00881BDB"/>
    <w:rsid w:val="008822E2"/>
    <w:rsid w:val="008C2A51"/>
    <w:rsid w:val="008D1FF6"/>
    <w:rsid w:val="008F6114"/>
    <w:rsid w:val="00901C98"/>
    <w:rsid w:val="00902884"/>
    <w:rsid w:val="00910EB9"/>
    <w:rsid w:val="00911DDE"/>
    <w:rsid w:val="00946DD1"/>
    <w:rsid w:val="009801A0"/>
    <w:rsid w:val="00993053"/>
    <w:rsid w:val="009B506B"/>
    <w:rsid w:val="009B52A7"/>
    <w:rsid w:val="009D6EA6"/>
    <w:rsid w:val="009E1B8F"/>
    <w:rsid w:val="009E3383"/>
    <w:rsid w:val="009F141F"/>
    <w:rsid w:val="00A14E56"/>
    <w:rsid w:val="00A2014B"/>
    <w:rsid w:val="00A27580"/>
    <w:rsid w:val="00A32248"/>
    <w:rsid w:val="00A56E26"/>
    <w:rsid w:val="00A76BA2"/>
    <w:rsid w:val="00A87F73"/>
    <w:rsid w:val="00A949A5"/>
    <w:rsid w:val="00AB42E7"/>
    <w:rsid w:val="00AC3198"/>
    <w:rsid w:val="00B118E6"/>
    <w:rsid w:val="00B12B73"/>
    <w:rsid w:val="00B43B62"/>
    <w:rsid w:val="00B46F7F"/>
    <w:rsid w:val="00B531D7"/>
    <w:rsid w:val="00B65BA4"/>
    <w:rsid w:val="00B7701D"/>
    <w:rsid w:val="00B86012"/>
    <w:rsid w:val="00BA4A9B"/>
    <w:rsid w:val="00BC585F"/>
    <w:rsid w:val="00BC72B6"/>
    <w:rsid w:val="00BD26AC"/>
    <w:rsid w:val="00BE5CCA"/>
    <w:rsid w:val="00BF318B"/>
    <w:rsid w:val="00C0152F"/>
    <w:rsid w:val="00C06FD1"/>
    <w:rsid w:val="00C2276C"/>
    <w:rsid w:val="00C4719A"/>
    <w:rsid w:val="00C54ACE"/>
    <w:rsid w:val="00C645ED"/>
    <w:rsid w:val="00C67B41"/>
    <w:rsid w:val="00C849A1"/>
    <w:rsid w:val="00C8567D"/>
    <w:rsid w:val="00CA6448"/>
    <w:rsid w:val="00CA66B9"/>
    <w:rsid w:val="00CB5DB6"/>
    <w:rsid w:val="00CC2745"/>
    <w:rsid w:val="00CC2C92"/>
    <w:rsid w:val="00CC4944"/>
    <w:rsid w:val="00CC5469"/>
    <w:rsid w:val="00D022EF"/>
    <w:rsid w:val="00D171B1"/>
    <w:rsid w:val="00D5598A"/>
    <w:rsid w:val="00D63FE9"/>
    <w:rsid w:val="00D6794A"/>
    <w:rsid w:val="00D67D9B"/>
    <w:rsid w:val="00DA7209"/>
    <w:rsid w:val="00DC36A0"/>
    <w:rsid w:val="00DC4506"/>
    <w:rsid w:val="00DE4B28"/>
    <w:rsid w:val="00DF0326"/>
    <w:rsid w:val="00DF3C6E"/>
    <w:rsid w:val="00E05A9A"/>
    <w:rsid w:val="00E21E8B"/>
    <w:rsid w:val="00E26C44"/>
    <w:rsid w:val="00E3428A"/>
    <w:rsid w:val="00E43FAF"/>
    <w:rsid w:val="00E44F01"/>
    <w:rsid w:val="00E56451"/>
    <w:rsid w:val="00E57F51"/>
    <w:rsid w:val="00E60769"/>
    <w:rsid w:val="00E64B92"/>
    <w:rsid w:val="00EB04D8"/>
    <w:rsid w:val="00EB4929"/>
    <w:rsid w:val="00EC1841"/>
    <w:rsid w:val="00EC7577"/>
    <w:rsid w:val="00ED291F"/>
    <w:rsid w:val="00EF38D9"/>
    <w:rsid w:val="00F214FA"/>
    <w:rsid w:val="00F331B7"/>
    <w:rsid w:val="00F64151"/>
    <w:rsid w:val="00F6639C"/>
    <w:rsid w:val="00F8514E"/>
    <w:rsid w:val="00F90681"/>
    <w:rsid w:val="00F9463D"/>
    <w:rsid w:val="00FB0AB5"/>
    <w:rsid w:val="00FB45C7"/>
    <w:rsid w:val="00FB554F"/>
    <w:rsid w:val="00FC4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45ED"/>
    <w:rPr>
      <w:color w:val="0000FF"/>
      <w:u w:val="single"/>
    </w:rPr>
  </w:style>
  <w:style w:type="table" w:styleId="a4">
    <w:name w:val="Table Grid"/>
    <w:basedOn w:val="a1"/>
    <w:uiPriority w:val="59"/>
    <w:rsid w:val="002D64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E3428A"/>
    <w:pPr>
      <w:spacing w:after="0" w:line="240" w:lineRule="auto"/>
      <w:ind w:firstLine="708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customStyle="1" w:styleId="a6">
    <w:name w:val="Основний текст з відступом Знак"/>
    <w:basedOn w:val="a0"/>
    <w:link w:val="a5"/>
    <w:rsid w:val="00E3428A"/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paragraph" w:styleId="a7">
    <w:name w:val="Normal (Web)"/>
    <w:basedOn w:val="a"/>
    <w:uiPriority w:val="99"/>
    <w:semiHidden/>
    <w:unhideWhenUsed/>
    <w:rsid w:val="00993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99305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D5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6D5F96"/>
    <w:rPr>
      <w:rFonts w:ascii="Tahoma" w:hAnsi="Tahoma" w:cs="Tahoma"/>
      <w:sz w:val="16"/>
      <w:szCs w:val="16"/>
    </w:rPr>
  </w:style>
  <w:style w:type="paragraph" w:styleId="ab">
    <w:name w:val="List Paragraph"/>
    <w:aliases w:val="Nag 1"/>
    <w:basedOn w:val="a"/>
    <w:link w:val="ac"/>
    <w:uiPriority w:val="34"/>
    <w:qFormat/>
    <w:rsid w:val="00E56451"/>
    <w:pPr>
      <w:ind w:left="720"/>
      <w:contextualSpacing/>
    </w:pPr>
  </w:style>
  <w:style w:type="character" w:styleId="ad">
    <w:name w:val="Emphasis"/>
    <w:basedOn w:val="a0"/>
    <w:uiPriority w:val="20"/>
    <w:qFormat/>
    <w:rsid w:val="00BE5CCA"/>
    <w:rPr>
      <w:i/>
      <w:iCs/>
    </w:rPr>
  </w:style>
  <w:style w:type="character" w:customStyle="1" w:styleId="ac">
    <w:name w:val="Абзац списку Знак"/>
    <w:aliases w:val="Nag 1 Знак"/>
    <w:basedOn w:val="a0"/>
    <w:link w:val="ab"/>
    <w:uiPriority w:val="34"/>
    <w:locked/>
    <w:rsid w:val="007C3A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3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77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9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5.xml"/><Relationship Id="rId4" Type="http://schemas.openxmlformats.org/officeDocument/2006/relationships/settings" Target="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\\192.168.1.10\d\Disk-X\&#1044;&#1054;&#1061;&#1054;&#1044;&#1048;\&#1044;&#1086;&#1082;&#1091;&#1084;&#1077;&#1085;&#1090;&#1080;\&#1055;&#1088;&#1086;&#1077;&#1082;&#1090;%20&#1073;&#1102;&#1076;&#1078;&#1077;&#1090;&#1091;%20&#1085;&#1072;%202026%20&#1088;&#1110;&#1082;\&#1057;&#1077;&#1088;&#1077;&#1076;&#1085;&#1100;&#1086;&#1089;&#1090;&#1088;&#1086;&#1082;&#1086;&#1074;&#1077;%20&#1087;&#1083;&#1072;&#1085;&#1091;&#1074;&#1072;&#1085;&#1085;&#1103;%2026-28%20&#1088;&#1088;\&#1043;&#1088;&#1072;&#1092;&#1110;&#1082;&#1080;.xls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oleObject" Target="file:///\\192.168.1.10\d\Disk-X\&#1044;&#1054;&#1061;&#1054;&#1044;&#1048;\&#1044;&#1086;&#1082;&#1091;&#1084;&#1077;&#1085;&#1090;&#1080;\&#1055;&#1088;&#1086;&#1077;&#1082;&#1090;%20&#1073;&#1102;&#1076;&#1078;&#1077;&#1090;&#1091;%20&#1085;&#1072;%202026%20&#1088;&#1110;&#1082;\&#1057;&#1077;&#1088;&#1077;&#1076;&#1085;&#1100;&#1086;&#1089;&#1090;&#1088;&#1086;&#1082;&#1086;&#1074;&#1077;%20&#1087;&#1083;&#1072;&#1085;&#1091;&#1074;&#1072;&#1085;&#1085;&#1103;%2026-28%20&#1088;&#1088;\&#1043;&#1088;&#1072;&#1092;&#1110;&#1082;&#1080;.xls" TargetMode="External"/><Relationship Id="rId1" Type="http://schemas.openxmlformats.org/officeDocument/2006/relationships/image" Target="../media/image1.jpeg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oleObject" Target="file:///\\192.168.1.10\d\Disk-X\&#1044;&#1054;&#1061;&#1054;&#1044;&#1048;\&#1044;&#1086;&#1082;&#1091;&#1084;&#1077;&#1085;&#1090;&#1080;\&#1055;&#1088;&#1086;&#1077;&#1082;&#1090;%20&#1073;&#1102;&#1076;&#1078;&#1077;&#1090;&#1091;%20&#1085;&#1072;%202026%20&#1088;&#1110;&#1082;\&#1057;&#1077;&#1088;&#1077;&#1076;&#1085;&#1100;&#1086;&#1089;&#1090;&#1088;&#1086;&#1082;&#1086;&#1074;&#1077;%20&#1087;&#1083;&#1072;&#1085;&#1091;&#1074;&#1072;&#1085;&#1085;&#1103;%2026-28%20&#1088;&#1088;\&#1043;&#1088;&#1072;&#1092;&#1110;&#1082;&#1080;.xls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oleObject" Target="file:///\\192.168.1.10\d\Disk-X\&#1044;&#1054;&#1061;&#1054;&#1044;&#1048;\&#1044;&#1086;&#1082;&#1091;&#1084;&#1077;&#1085;&#1090;&#1080;\&#1055;&#1088;&#1086;&#1077;&#1082;&#1090;%20&#1073;&#1102;&#1076;&#1078;&#1077;&#1090;&#1091;%20&#1085;&#1072;%202026%20&#1088;&#1110;&#1082;\&#1057;&#1077;&#1088;&#1077;&#1076;&#1085;&#1100;&#1086;&#1089;&#1090;&#1088;&#1086;&#1082;&#1086;&#1074;&#1077;%20&#1087;&#1083;&#1072;&#1085;&#1091;&#1074;&#1072;&#1085;&#1085;&#1103;%2026-28%20&#1088;&#1088;\&#1043;&#1088;&#1072;&#1092;&#1110;&#1082;&#1080;.xls" TargetMode="Externa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oleObject" Target="file:///\\192.168.1.10\d\Disk-X\&#1044;&#1054;&#1061;&#1054;&#1044;&#1048;\&#1044;&#1086;&#1082;&#1091;&#1084;&#1077;&#1085;&#1090;&#1080;\&#1055;&#1088;&#1086;&#1077;&#1082;&#1090;%20&#1073;&#1102;&#1076;&#1078;&#1077;&#1090;&#1091;%20&#1085;&#1072;%202026%20&#1088;&#1110;&#1082;\&#1057;&#1077;&#1088;&#1077;&#1076;&#1085;&#1100;&#1086;&#1089;&#1090;&#1088;&#1086;&#1082;&#1086;&#1074;&#1077;%20&#1087;&#1083;&#1072;&#1085;&#1091;&#1074;&#1072;&#1085;&#1085;&#1103;%2026-28%20&#1088;&#1088;\&#1043;&#1088;&#1072;&#1092;&#1110;&#1082;&#1080;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title>
      <c:tx>
        <c:rich>
          <a:bodyPr/>
          <a:lstStyle/>
          <a:p>
            <a:pPr>
              <a:defRPr sz="115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/>
              <a:t>Показники надходжень до місцевого бюджету без урахування міжбюджетних трансфертів за 2026-2028 рр.</a:t>
            </a:r>
          </a:p>
        </c:rich>
      </c:tx>
      <c:layout>
        <c:manualLayout>
          <c:xMode val="edge"/>
          <c:yMode val="edge"/>
          <c:x val="0.15851867964018321"/>
          <c:y val="3.2876685286134161E-2"/>
        </c:manualLayout>
      </c:layout>
      <c:spPr>
        <a:noFill/>
        <a:ln w="25400">
          <a:noFill/>
        </a:ln>
      </c:spPr>
    </c:title>
    <c:view3D>
      <c:rotX val="5"/>
      <c:hPercent val="43"/>
      <c:rotY val="10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noFill/>
        <a:ln w="25400">
          <a:noFill/>
        </a:ln>
      </c:spPr>
    </c:sideWall>
    <c:backWall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7.2797378228274034E-2"/>
          <c:y val="0.15938802521479686"/>
          <c:w val="0.76490393120749489"/>
          <c:h val="0.70954223029813646"/>
        </c:manualLayout>
      </c:layout>
      <c:bar3DChart>
        <c:barDir val="col"/>
        <c:grouping val="clustered"/>
        <c:ser>
          <c:idx val="0"/>
          <c:order val="0"/>
          <c:tx>
            <c:strRef>
              <c:f>'показники 2026-2028'!$A$3</c:f>
              <c:strCache>
                <c:ptCount val="1"/>
                <c:pt idx="0">
                  <c:v>Всього місцеві бюджети</c:v>
                </c:pt>
              </c:strCache>
            </c:strRef>
          </c:tx>
          <c:spPr>
            <a:gradFill flip="none" rotWithShape="1">
              <a:gsLst>
                <a:gs pos="0">
                  <a:srgbClr val="99CCFF">
                    <a:shade val="30000"/>
                    <a:satMod val="115000"/>
                  </a:srgbClr>
                </a:gs>
                <a:gs pos="50000">
                  <a:srgbClr val="99CCFF">
                    <a:shade val="67500"/>
                    <a:satMod val="115000"/>
                  </a:srgbClr>
                </a:gs>
                <a:gs pos="100000">
                  <a:srgbClr val="99CCFF">
                    <a:shade val="100000"/>
                    <a:satMod val="115000"/>
                  </a:srgbClr>
                </a:gs>
              </a:gsLst>
              <a:lin ang="16200000" scaled="1"/>
              <a:tileRect/>
            </a:gradFill>
            <a:ln w="12700">
              <a:noFill/>
              <a:prstDash val="solid"/>
            </a:ln>
          </c:spPr>
          <c:dLbls>
            <c:dLbl>
              <c:idx val="0"/>
              <c:layout>
                <c:manualLayout>
                  <c:x val="3.8156832605869061E-3"/>
                  <c:y val="-2.9530385624873843E-2"/>
                </c:manualLayout>
              </c:layout>
              <c:showVal val="1"/>
            </c:dLbl>
            <c:dLbl>
              <c:idx val="1"/>
              <c:layout>
                <c:manualLayout>
                  <c:x val="6.9819173155841862E-3"/>
                  <c:y val="-3.2743881373802651E-2"/>
                </c:manualLayout>
              </c:layout>
              <c:showVal val="1"/>
            </c:dLbl>
            <c:dLbl>
              <c:idx val="2"/>
              <c:layout>
                <c:manualLayout>
                  <c:x val="6.7186767399931508E-3"/>
                  <c:y val="-2.7990219171321589E-2"/>
                </c:manualLayout>
              </c:layout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Val val="1"/>
          </c:dLbls>
          <c:val>
            <c:numRef>
              <c:f>'показники 2026-2028'!$B$3:$D$3</c:f>
              <c:numCache>
                <c:formatCode>0.0</c:formatCode>
                <c:ptCount val="3"/>
                <c:pt idx="0">
                  <c:v>697772.7</c:v>
                </c:pt>
                <c:pt idx="1">
                  <c:v>728215.5</c:v>
                </c:pt>
                <c:pt idx="2">
                  <c:v>724441</c:v>
                </c:pt>
              </c:numCache>
            </c:numRef>
          </c:val>
        </c:ser>
        <c:ser>
          <c:idx val="1"/>
          <c:order val="1"/>
          <c:tx>
            <c:strRef>
              <c:f>'показники 2026-2028'!$A$4</c:f>
              <c:strCache>
                <c:ptCount val="1"/>
                <c:pt idx="0">
                  <c:v>Загальний фонд</c:v>
                </c:pt>
              </c:strCache>
            </c:strRef>
          </c:tx>
          <c:spPr>
            <a:gradFill flip="none" rotWithShape="1">
              <a:gsLst>
                <a:gs pos="0">
                  <a:srgbClr val="92D050">
                    <a:tint val="66000"/>
                    <a:satMod val="160000"/>
                  </a:srgbClr>
                </a:gs>
                <a:gs pos="50000">
                  <a:srgbClr val="92D050">
                    <a:tint val="44500"/>
                    <a:satMod val="160000"/>
                  </a:srgbClr>
                </a:gs>
                <a:gs pos="100000">
                  <a:srgbClr val="92D050">
                    <a:tint val="23500"/>
                    <a:satMod val="160000"/>
                  </a:srgbClr>
                </a:gs>
              </a:gsLst>
              <a:lin ang="2700000" scaled="1"/>
              <a:tileRect/>
            </a:gradFill>
            <a:ln w="12700">
              <a:noFill/>
              <a:prstDash val="solid"/>
            </a:ln>
          </c:spPr>
          <c:dLbls>
            <c:dLbl>
              <c:idx val="0"/>
              <c:layout>
                <c:manualLayout>
                  <c:x val="1.1216484679746523E-2"/>
                  <c:y val="-2.5036588375171052E-2"/>
                </c:manualLayout>
              </c:layout>
              <c:showVal val="1"/>
            </c:dLbl>
            <c:dLbl>
              <c:idx val="1"/>
              <c:layout>
                <c:manualLayout>
                  <c:x val="1.5651358497314929E-2"/>
                  <c:y val="-1.704645893622269E-2"/>
                </c:manualLayout>
              </c:layout>
              <c:showVal val="1"/>
            </c:dLbl>
            <c:dLbl>
              <c:idx val="2"/>
              <c:layout>
                <c:manualLayout>
                  <c:x val="1.4880681351295191E-2"/>
                  <c:y val="-2.1739462054422697E-2"/>
                </c:manualLayout>
              </c:layout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Val val="1"/>
          </c:dLbls>
          <c:val>
            <c:numRef>
              <c:f>'показники 2026-2028'!$B$4:$D$4</c:f>
              <c:numCache>
                <c:formatCode>0.0</c:formatCode>
                <c:ptCount val="3"/>
                <c:pt idx="0">
                  <c:v>679821.9</c:v>
                </c:pt>
                <c:pt idx="1">
                  <c:v>709763</c:v>
                </c:pt>
                <c:pt idx="2">
                  <c:v>705912.4</c:v>
                </c:pt>
              </c:numCache>
            </c:numRef>
          </c:val>
        </c:ser>
        <c:ser>
          <c:idx val="2"/>
          <c:order val="2"/>
          <c:tx>
            <c:strRef>
              <c:f>'показники 2026-2028'!$A$5</c:f>
              <c:strCache>
                <c:ptCount val="1"/>
                <c:pt idx="0">
                  <c:v>Спеціальний фонд</c:v>
                </c:pt>
              </c:strCache>
            </c:strRef>
          </c:tx>
          <c:spPr>
            <a:gradFill flip="none" rotWithShape="1">
              <a:gsLst>
                <a:gs pos="0">
                  <a:srgbClr val="FFC000">
                    <a:tint val="66000"/>
                    <a:satMod val="160000"/>
                  </a:srgbClr>
                </a:gs>
                <a:gs pos="50000">
                  <a:srgbClr val="FFC000">
                    <a:tint val="44500"/>
                    <a:satMod val="160000"/>
                  </a:srgbClr>
                </a:gs>
                <a:gs pos="100000">
                  <a:srgbClr val="FFC000">
                    <a:tint val="23500"/>
                    <a:satMod val="160000"/>
                  </a:srgbClr>
                </a:gs>
              </a:gsLst>
              <a:lin ang="5400000" scaled="1"/>
              <a:tileRect/>
            </a:gradFill>
            <a:ln w="12700">
              <a:noFill/>
              <a:prstDash val="solid"/>
            </a:ln>
          </c:spPr>
          <c:dLbls>
            <c:dLbl>
              <c:idx val="0"/>
              <c:layout>
                <c:manualLayout>
                  <c:x val="1.1119811680998445E-2"/>
                  <c:y val="-1.8981268367095079E-2"/>
                </c:manualLayout>
              </c:layout>
              <c:showVal val="1"/>
            </c:dLbl>
            <c:dLbl>
              <c:idx val="1"/>
              <c:layout>
                <c:manualLayout>
                  <c:x val="1.0349134534978714E-2"/>
                  <c:y val="-2.1411579962761086E-2"/>
                </c:manualLayout>
              </c:layout>
              <c:showVal val="1"/>
            </c:dLbl>
            <c:dLbl>
              <c:idx val="2"/>
              <c:layout>
                <c:manualLayout>
                  <c:x val="1.376913521168973E-2"/>
                  <c:y val="-1.8432465172622661E-2"/>
                </c:manualLayout>
              </c:layout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Val val="1"/>
          </c:dLbls>
          <c:val>
            <c:numRef>
              <c:f>'показники 2026-2028'!$B$5:$D$5</c:f>
              <c:numCache>
                <c:formatCode>0.0</c:formatCode>
                <c:ptCount val="3"/>
                <c:pt idx="0">
                  <c:v>17950.8</c:v>
                </c:pt>
                <c:pt idx="1">
                  <c:v>18452.5</c:v>
                </c:pt>
                <c:pt idx="2">
                  <c:v>18528.599999999988</c:v>
                </c:pt>
              </c:numCache>
            </c:numRef>
          </c:val>
        </c:ser>
        <c:dLbls>
          <c:showVal val="1"/>
        </c:dLbls>
        <c:shape val="box"/>
        <c:axId val="79790464"/>
        <c:axId val="79792768"/>
        <c:axId val="0"/>
      </c:bar3DChart>
      <c:catAx>
        <c:axId val="79790464"/>
        <c:scaling>
          <c:orientation val="minMax"/>
        </c:scaling>
        <c:delete val="1"/>
        <c:axPos val="b"/>
        <c:tickLblPos val="none"/>
        <c:crossAx val="79792768"/>
        <c:crosses val="autoZero"/>
        <c:auto val="1"/>
        <c:lblAlgn val="ctr"/>
        <c:lblOffset val="100"/>
      </c:catAx>
      <c:valAx>
        <c:axId val="79792768"/>
        <c:scaling>
          <c:orientation val="minMax"/>
        </c:scaling>
        <c:axPos val="l"/>
        <c:numFmt formatCode="0.0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79790464"/>
        <c:crosses val="autoZero"/>
        <c:crossBetween val="between"/>
        <c:majorUnit val="50000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84141616275865982"/>
          <c:y val="0.39764273055611643"/>
          <c:w val="0.14584910311625432"/>
          <c:h val="0.16380590887677518"/>
        </c:manualLayout>
      </c:layout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uk-UA"/>
        </a:p>
      </c:txPr>
    </c:legend>
    <c:plotVisOnly val="1"/>
    <c:dispBlanksAs val="gap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975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/>
              <a:t>Динаміка надходжень податку та збору на доходи фізичних осіб до  бюджету Лубенської міської територіальної  громади </a:t>
            </a:r>
          </a:p>
        </c:rich>
      </c:tx>
      <c:layout>
        <c:manualLayout>
          <c:xMode val="edge"/>
          <c:yMode val="edge"/>
          <c:x val="0.11015748031496048"/>
          <c:y val="3.4090825856070352E-2"/>
        </c:manualLayout>
      </c:layout>
      <c:spPr>
        <a:noFill/>
        <a:ln w="25400">
          <a:noFill/>
        </a:ln>
      </c:spPr>
    </c:title>
    <c:plotArea>
      <c:layout>
        <c:manualLayout>
          <c:layoutTarget val="inner"/>
          <c:xMode val="edge"/>
          <c:yMode val="edge"/>
          <c:x val="9.5311211098612653E-2"/>
          <c:y val="0.25568210950375392"/>
          <c:w val="0.88126017254025357"/>
          <c:h val="0.6164781278827014"/>
        </c:manualLayout>
      </c:layout>
      <c:barChart>
        <c:barDir val="col"/>
        <c:grouping val="clustered"/>
        <c:ser>
          <c:idx val="0"/>
          <c:order val="0"/>
          <c:spPr>
            <a:blipFill>
              <a:blip xmlns:r="http://schemas.openxmlformats.org/officeDocument/2006/relationships" r:embed="rId1"/>
              <a:tile tx="0" ty="0" sx="100000" sy="100000" flip="none" algn="tl"/>
            </a:blipFill>
            <a:ln w="12700">
              <a:noFill/>
              <a:prstDash val="solid"/>
            </a:ln>
            <a:effectLst>
              <a:outerShdw blurRad="76200" dir="18900000" sy="23000" kx="-1200000" algn="bl" rotWithShape="0">
                <a:prstClr val="black">
                  <a:alpha val="20000"/>
                </a:prstClr>
              </a:outerShdw>
            </a:effectLst>
            <a:scene3d>
              <a:camera prst="orthographicFront"/>
              <a:lightRig rig="threePt" dir="t"/>
            </a:scene3d>
            <a:sp3d>
              <a:bevelT/>
            </a:sp3d>
          </c:spPr>
          <c:pictureOptions>
            <c:pictureFormat val="stretch"/>
          </c:pictureOptions>
          <c:dLbls>
            <c:dLbl>
              <c:idx val="3"/>
              <c:layout>
                <c:manualLayout>
                  <c:x val="0"/>
                  <c:y val="7.5757575757575829E-3"/>
                </c:manualLayout>
              </c:layout>
              <c:dLblPos val="outEnd"/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Val val="1"/>
          </c:dLbls>
          <c:cat>
            <c:strRef>
              <c:f>ПДФО!$A$4:$A$8</c:f>
              <c:strCache>
                <c:ptCount val="5"/>
                <c:pt idx="0">
                  <c:v>2024р.</c:v>
                </c:pt>
                <c:pt idx="1">
                  <c:v>2025р.</c:v>
                </c:pt>
                <c:pt idx="2">
                  <c:v>2026р.</c:v>
                </c:pt>
                <c:pt idx="3">
                  <c:v>2027р.</c:v>
                </c:pt>
                <c:pt idx="4">
                  <c:v>2028р.</c:v>
                </c:pt>
              </c:strCache>
            </c:strRef>
          </c:cat>
          <c:val>
            <c:numRef>
              <c:f>ПДФО!$B$4:$B$8</c:f>
              <c:numCache>
                <c:formatCode>0.0</c:formatCode>
                <c:ptCount val="5"/>
                <c:pt idx="0" formatCode="General">
                  <c:v>340464.1</c:v>
                </c:pt>
                <c:pt idx="1">
                  <c:v>356096</c:v>
                </c:pt>
                <c:pt idx="2">
                  <c:v>368613.9</c:v>
                </c:pt>
                <c:pt idx="3">
                  <c:v>396600</c:v>
                </c:pt>
                <c:pt idx="4">
                  <c:v>385269.4</c:v>
                </c:pt>
              </c:numCache>
            </c:numRef>
          </c:val>
        </c:ser>
        <c:axId val="91753472"/>
        <c:axId val="118431744"/>
      </c:barChart>
      <c:catAx>
        <c:axId val="91753472"/>
        <c:scaling>
          <c:orientation val="minMax"/>
        </c:scaling>
        <c:axPos val="b"/>
        <c:numFmt formatCode="@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118431744"/>
        <c:crossesAt val="0"/>
        <c:auto val="1"/>
        <c:lblAlgn val="ctr"/>
        <c:lblOffset val="100"/>
        <c:tickLblSkip val="1"/>
        <c:tickMarkSkip val="1"/>
      </c:catAx>
      <c:valAx>
        <c:axId val="118431744"/>
        <c:scaling>
          <c:orientation val="minMax"/>
          <c:min val="0"/>
        </c:scaling>
        <c:axPos val="l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91753472"/>
        <c:crosses val="autoZero"/>
        <c:crossBetween val="between"/>
        <c:majorUnit val="25000"/>
      </c:valAx>
      <c:spPr>
        <a:noFill/>
        <a:ln w="12700">
          <a:solidFill>
            <a:srgbClr val="FFFFFF"/>
          </a:solidFill>
          <a:prstDash val="solid"/>
        </a:ln>
      </c:spPr>
    </c:plotArea>
    <c:plotVisOnly val="1"/>
    <c:dispBlanksAs val="gap"/>
  </c:chart>
  <c:spPr>
    <a:solidFill>
      <a:schemeClr val="accent3">
        <a:lumMod val="20000"/>
        <a:lumOff val="80000"/>
      </a:schemeClr>
    </a:solidFill>
    <a:ln w="3175">
      <a:noFill/>
      <a:prstDash val="solid"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2"/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chart>
    <c:autoTitleDeleted val="1"/>
    <c:view3D>
      <c:rotX val="0"/>
      <c:hPercent val="42"/>
      <c:rotY val="10"/>
      <c:depthPercent val="100"/>
      <c:rAngAx val="1"/>
    </c:view3D>
    <c:floor>
      <c:spPr>
        <a:gradFill flip="none" rotWithShape="1">
          <a:gsLst>
            <a:gs pos="0">
              <a:srgbClr val="00B050">
                <a:tint val="66000"/>
                <a:satMod val="160000"/>
              </a:srgbClr>
            </a:gs>
            <a:gs pos="50000">
              <a:srgbClr val="00B050">
                <a:tint val="44500"/>
                <a:satMod val="160000"/>
              </a:srgbClr>
            </a:gs>
            <a:gs pos="100000">
              <a:srgbClr val="00B050">
                <a:tint val="23500"/>
                <a:satMod val="160000"/>
              </a:srgbClr>
            </a:gs>
          </a:gsLst>
          <a:lin ang="16200000" scaled="1"/>
          <a:tileRect/>
        </a:gradFill>
        <a:ln w="3175">
          <a:noFill/>
          <a:prstDash val="solid"/>
        </a:ln>
        <a:effectLst/>
        <a:scene3d>
          <a:camera prst="orthographicFront"/>
          <a:lightRig rig="threePt" dir="t"/>
        </a:scene3d>
        <a:sp3d prstMaterial="matte">
          <a:bevelT prst="angle"/>
          <a:bevelB prst="angle"/>
        </a:sp3d>
      </c:spPr>
    </c:floor>
    <c:sideWall>
      <c:spPr>
        <a:noFill/>
        <a:ln w="25400">
          <a:noFill/>
        </a:ln>
      </c:spPr>
    </c:sideWall>
    <c:backWall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8.4977327117462254E-2"/>
          <c:y val="3.078744819419775E-2"/>
          <c:w val="0.90032219511700973"/>
          <c:h val="0.88380507498729621"/>
        </c:manualLayout>
      </c:layout>
      <c:bar3DChart>
        <c:barDir val="col"/>
        <c:grouping val="standard"/>
        <c:ser>
          <c:idx val="0"/>
          <c:order val="0"/>
          <c:tx>
            <c:strRef>
              <c:f>єдиний!$B$2</c:f>
              <c:strCache>
                <c:ptCount val="1"/>
                <c:pt idx="0">
                  <c:v>тис.грн</c:v>
                </c:pt>
              </c:strCache>
            </c:strRef>
          </c:tx>
          <c:spPr>
            <a:gradFill flip="none" rotWithShape="1">
              <a:gsLst>
                <a:gs pos="0">
                  <a:srgbClr val="7030A0">
                    <a:tint val="66000"/>
                    <a:satMod val="160000"/>
                  </a:srgbClr>
                </a:gs>
                <a:gs pos="50000">
                  <a:srgbClr val="7030A0">
                    <a:tint val="44500"/>
                    <a:satMod val="160000"/>
                  </a:srgbClr>
                </a:gs>
                <a:gs pos="100000">
                  <a:srgbClr val="7030A0">
                    <a:tint val="23500"/>
                    <a:satMod val="160000"/>
                  </a:srgbClr>
                </a:gs>
              </a:gsLst>
              <a:lin ang="5400000" scaled="1"/>
              <a:tileRect/>
            </a:gradFill>
            <a:ln>
              <a:noFill/>
            </a:ln>
            <a:effectLst/>
          </c:spPr>
          <c:dPt>
            <c:idx val="3"/>
            <c:spPr>
              <a:gradFill flip="none" rotWithShape="1">
                <a:gsLst>
                  <a:gs pos="0">
                    <a:srgbClr val="7030A0">
                      <a:tint val="66000"/>
                      <a:satMod val="160000"/>
                    </a:srgbClr>
                  </a:gs>
                  <a:gs pos="50000">
                    <a:srgbClr val="7030A0">
                      <a:tint val="44500"/>
                      <a:satMod val="160000"/>
                    </a:srgbClr>
                  </a:gs>
                  <a:gs pos="100000">
                    <a:srgbClr val="7030A0">
                      <a:tint val="23500"/>
                      <a:satMod val="160000"/>
                    </a:srgbClr>
                  </a:gs>
                </a:gsLst>
                <a:lin ang="5400000" scaled="1"/>
                <a:tileRect/>
              </a:gradFill>
              <a:ln>
                <a:noFill/>
              </a:ln>
              <a:effectLst/>
              <a:scene3d>
                <a:camera prst="orthographicFront"/>
                <a:lightRig rig="threePt" dir="t"/>
              </a:scene3d>
              <a:sp3d prstMaterial="softEdge">
                <a:contourClr>
                  <a:srgbClr val="000000"/>
                </a:contourClr>
              </a:sp3d>
            </c:spPr>
          </c:dPt>
          <c:dLbls>
            <c:dLbl>
              <c:idx val="0"/>
              <c:layout>
                <c:manualLayout>
                  <c:x val="2.9400955531054805E-3"/>
                  <c:y val="-1.894612196566019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showVal val="1"/>
            </c:dLbl>
            <c:dLbl>
              <c:idx val="1"/>
              <c:layout>
                <c:manualLayout>
                  <c:x val="7.3502388827637027E-3"/>
                  <c:y val="-7.104795737122558E-3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showVal val="1"/>
            </c:dLbl>
            <c:dLbl>
              <c:idx val="2"/>
              <c:layout>
                <c:manualLayout>
                  <c:x val="4.4101433296582174E-3"/>
                  <c:y val="-3.7892243931320346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showVal val="1"/>
            </c:dLbl>
            <c:dLbl>
              <c:idx val="3"/>
              <c:layout>
                <c:manualLayout>
                  <c:x val="4.4101433296582174E-3"/>
                  <c:y val="-2.3682652457075216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showVal val="1"/>
            </c:dLbl>
            <c:dLbl>
              <c:idx val="4"/>
              <c:layout>
                <c:manualLayout>
                  <c:x val="4.4100275778648926E-3"/>
                  <c:y val="-1.894612196566019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showVal val="1"/>
            </c:dLbl>
            <c:showVal val="1"/>
          </c:dLbls>
          <c:cat>
            <c:strRef>
              <c:f>єдиний!$A$3:$A$7</c:f>
              <c:strCache>
                <c:ptCount val="5"/>
                <c:pt idx="0">
                  <c:v>2024 р.</c:v>
                </c:pt>
                <c:pt idx="1">
                  <c:v>2025 р.</c:v>
                </c:pt>
                <c:pt idx="2">
                  <c:v>2026 р.</c:v>
                </c:pt>
                <c:pt idx="3">
                  <c:v>2027 р.</c:v>
                </c:pt>
                <c:pt idx="4">
                  <c:v>2028 р.</c:v>
                </c:pt>
              </c:strCache>
            </c:strRef>
          </c:cat>
          <c:val>
            <c:numRef>
              <c:f>єдиний!$B$3:$B$7</c:f>
              <c:numCache>
                <c:formatCode>0.0</c:formatCode>
                <c:ptCount val="5"/>
                <c:pt idx="0">
                  <c:v>117255.5</c:v>
                </c:pt>
                <c:pt idx="1">
                  <c:v>130300</c:v>
                </c:pt>
                <c:pt idx="2">
                  <c:v>135000</c:v>
                </c:pt>
                <c:pt idx="3">
                  <c:v>138700</c:v>
                </c:pt>
                <c:pt idx="4">
                  <c:v>142700</c:v>
                </c:pt>
              </c:numCache>
            </c:numRef>
          </c:val>
        </c:ser>
        <c:shape val="box"/>
        <c:axId val="130164992"/>
        <c:axId val="130168320"/>
        <c:axId val="74859840"/>
      </c:bar3DChart>
      <c:catAx>
        <c:axId val="130164992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800" b="0" i="0" u="none" strike="noStrike" baseline="0">
                <a:solidFill>
                  <a:srgbClr val="000000"/>
                </a:solidFill>
                <a:latin typeface="Arial" pitchFamily="34" charset="0"/>
                <a:ea typeface="Century Schoolbook"/>
                <a:cs typeface="Arial" pitchFamily="34" charset="0"/>
              </a:defRPr>
            </a:pPr>
            <a:endParaRPr lang="uk-UA"/>
          </a:p>
        </c:txPr>
        <c:crossAx val="130168320"/>
        <c:crosses val="autoZero"/>
        <c:auto val="1"/>
        <c:lblAlgn val="ctr"/>
        <c:lblOffset val="100"/>
        <c:tickLblSkip val="1"/>
        <c:tickMarkSkip val="1"/>
      </c:catAx>
      <c:valAx>
        <c:axId val="130168320"/>
        <c:scaling>
          <c:orientation val="minMax"/>
        </c:scaling>
        <c:axPos val="l"/>
        <c:majorGridlines>
          <c:spPr>
            <a:ln>
              <a:solidFill>
                <a:schemeClr val="bg1"/>
              </a:solidFill>
            </a:ln>
          </c:spPr>
        </c:majorGridlines>
        <c:numFmt formatCode="0.0" sourceLinked="1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" pitchFamily="34" charset="0"/>
                <a:ea typeface="Century Schoolbook"/>
                <a:cs typeface="Arial" pitchFamily="34" charset="0"/>
              </a:defRPr>
            </a:pPr>
            <a:endParaRPr lang="uk-UA"/>
          </a:p>
        </c:txPr>
        <c:crossAx val="130164992"/>
        <c:crosses val="autoZero"/>
        <c:crossBetween val="between"/>
        <c:majorUnit val="25000"/>
      </c:valAx>
      <c:serAx>
        <c:axId val="74859840"/>
        <c:scaling>
          <c:orientation val="minMax"/>
        </c:scaling>
        <c:delete val="1"/>
        <c:axPos val="b"/>
        <c:tickLblPos val="none"/>
        <c:crossAx val="130168320"/>
        <c:crosses val="autoZero"/>
      </c:serAx>
      <c:spPr>
        <a:gradFill flip="none" rotWithShape="1">
          <a:gsLst>
            <a:gs pos="0">
              <a:srgbClr val="1F497D">
                <a:lumMod val="40000"/>
                <a:lumOff val="60000"/>
                <a:tint val="66000"/>
                <a:satMod val="160000"/>
              </a:srgbClr>
            </a:gs>
            <a:gs pos="50000">
              <a:srgbClr val="1F497D">
                <a:lumMod val="40000"/>
                <a:lumOff val="60000"/>
                <a:tint val="44500"/>
                <a:satMod val="160000"/>
              </a:srgbClr>
            </a:gs>
            <a:gs pos="100000">
              <a:srgbClr val="1F497D">
                <a:lumMod val="40000"/>
                <a:lumOff val="60000"/>
                <a:tint val="23500"/>
                <a:satMod val="160000"/>
              </a:srgbClr>
            </a:gs>
          </a:gsLst>
          <a:path path="circle">
            <a:fillToRect l="100000" b="100000"/>
          </a:path>
          <a:tileRect t="-100000" r="-100000"/>
        </a:gradFill>
        <a:ln w="25400">
          <a:noFill/>
        </a:ln>
      </c:spPr>
    </c:plotArea>
    <c:plotVisOnly val="1"/>
    <c:dispBlanksAs val="gap"/>
  </c:chart>
  <c:spPr>
    <a:noFill/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/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chart>
    <c:plotArea>
      <c:layout>
        <c:manualLayout>
          <c:layoutTarget val="inner"/>
          <c:xMode val="edge"/>
          <c:yMode val="edge"/>
          <c:x val="8.2457798038403127E-2"/>
          <c:y val="0.10293963254593176"/>
          <c:w val="0.75142786099106029"/>
          <c:h val="0.80529606876063486"/>
        </c:manualLayout>
      </c:layout>
      <c:barChart>
        <c:barDir val="col"/>
        <c:grouping val="stacked"/>
        <c:ser>
          <c:idx val="0"/>
          <c:order val="0"/>
          <c:tx>
            <c:strRef>
              <c:f>'нерухоме майно'!$B$1</c:f>
              <c:strCache>
                <c:ptCount val="1"/>
                <c:pt idx="0">
                  <c:v>нерухоме майно</c:v>
                </c:pt>
              </c:strCache>
            </c:strRef>
          </c:tx>
          <c:spPr>
            <a:gradFill>
              <a:gsLst>
                <a:gs pos="0">
                  <a:srgbClr val="D6B19C"/>
                </a:gs>
                <a:gs pos="30000">
                  <a:srgbClr val="D49E6C"/>
                </a:gs>
                <a:gs pos="70000">
                  <a:srgbClr val="A65528"/>
                </a:gs>
                <a:gs pos="100000">
                  <a:srgbClr val="663012"/>
                </a:gs>
              </a:gsLst>
              <a:lin ang="5400000" scaled="0"/>
            </a:gradFill>
          </c:spPr>
          <c:dLbls>
            <c:txPr>
              <a:bodyPr/>
              <a:lstStyle/>
              <a:p>
                <a:pPr>
                  <a:defRPr sz="900"/>
                </a:pPr>
                <a:endParaRPr lang="uk-UA"/>
              </a:p>
            </c:txPr>
            <c:showVal val="1"/>
          </c:dLbls>
          <c:cat>
            <c:strRef>
              <c:f>'нерухоме майно'!$A$2:$A$6</c:f>
              <c:strCache>
                <c:ptCount val="5"/>
                <c:pt idx="0">
                  <c:v>2024р</c:v>
                </c:pt>
                <c:pt idx="1">
                  <c:v>2025р</c:v>
                </c:pt>
                <c:pt idx="2">
                  <c:v>2026р</c:v>
                </c:pt>
                <c:pt idx="3">
                  <c:v>2027р</c:v>
                </c:pt>
                <c:pt idx="4">
                  <c:v>2028р</c:v>
                </c:pt>
              </c:strCache>
            </c:strRef>
          </c:cat>
          <c:val>
            <c:numRef>
              <c:f>'нерухоме майно'!$B$2:$B$6</c:f>
              <c:numCache>
                <c:formatCode>General</c:formatCode>
                <c:ptCount val="5"/>
                <c:pt idx="0">
                  <c:v>5115.4000000000005</c:v>
                </c:pt>
                <c:pt idx="1">
                  <c:v>5150</c:v>
                </c:pt>
                <c:pt idx="2">
                  <c:v>5150</c:v>
                </c:pt>
                <c:pt idx="3">
                  <c:v>5260</c:v>
                </c:pt>
                <c:pt idx="4">
                  <c:v>5320</c:v>
                </c:pt>
              </c:numCache>
            </c:numRef>
          </c:val>
        </c:ser>
        <c:ser>
          <c:idx val="1"/>
          <c:order val="1"/>
          <c:tx>
            <c:strRef>
              <c:f>'нерухоме майно'!$C$1</c:f>
              <c:strCache>
                <c:ptCount val="1"/>
                <c:pt idx="0">
                  <c:v>оренда</c:v>
                </c:pt>
              </c:strCache>
            </c:strRef>
          </c:tx>
          <c:spPr>
            <a:gradFill flip="none" rotWithShape="1">
              <a:gsLst>
                <a:gs pos="0">
                  <a:schemeClr val="accent1">
                    <a:tint val="66000"/>
                    <a:satMod val="160000"/>
                  </a:schemeClr>
                </a:gs>
                <a:gs pos="50000">
                  <a:schemeClr val="accent1">
                    <a:tint val="44500"/>
                    <a:satMod val="160000"/>
                  </a:schemeClr>
                </a:gs>
                <a:gs pos="100000">
                  <a:schemeClr val="accent1">
                    <a:tint val="23500"/>
                    <a:satMod val="160000"/>
                  </a:schemeClr>
                </a:gs>
              </a:gsLst>
              <a:lin ang="13500000" scaled="1"/>
              <a:tileRect/>
            </a:gradFill>
          </c:spPr>
          <c:dLbls>
            <c:txPr>
              <a:bodyPr/>
              <a:lstStyle/>
              <a:p>
                <a:pPr>
                  <a:defRPr sz="900"/>
                </a:pPr>
                <a:endParaRPr lang="uk-UA"/>
              </a:p>
            </c:txPr>
            <c:showVal val="1"/>
          </c:dLbls>
          <c:cat>
            <c:strRef>
              <c:f>'нерухоме майно'!$A$2:$A$6</c:f>
              <c:strCache>
                <c:ptCount val="5"/>
                <c:pt idx="0">
                  <c:v>2024р</c:v>
                </c:pt>
                <c:pt idx="1">
                  <c:v>2025р</c:v>
                </c:pt>
                <c:pt idx="2">
                  <c:v>2026р</c:v>
                </c:pt>
                <c:pt idx="3">
                  <c:v>2027р</c:v>
                </c:pt>
                <c:pt idx="4">
                  <c:v>2028р</c:v>
                </c:pt>
              </c:strCache>
            </c:strRef>
          </c:cat>
          <c:val>
            <c:numRef>
              <c:f>'нерухоме майно'!$C$2:$C$6</c:f>
              <c:numCache>
                <c:formatCode>General</c:formatCode>
                <c:ptCount val="5"/>
                <c:pt idx="0">
                  <c:v>60636.800000000003</c:v>
                </c:pt>
                <c:pt idx="1">
                  <c:v>60900</c:v>
                </c:pt>
                <c:pt idx="2">
                  <c:v>63075</c:v>
                </c:pt>
                <c:pt idx="3">
                  <c:v>64800</c:v>
                </c:pt>
                <c:pt idx="4">
                  <c:v>66700</c:v>
                </c:pt>
              </c:numCache>
            </c:numRef>
          </c:val>
        </c:ser>
        <c:ser>
          <c:idx val="2"/>
          <c:order val="2"/>
          <c:tx>
            <c:strRef>
              <c:f>'нерухоме майно'!$D$1</c:f>
              <c:strCache>
                <c:ptCount val="1"/>
                <c:pt idx="0">
                  <c:v>земельний податок</c:v>
                </c:pt>
              </c:strCache>
            </c:strRef>
          </c:tx>
          <c:spPr>
            <a:gradFill>
              <a:gsLst>
                <a:gs pos="0">
                  <a:srgbClr val="DDEBCF"/>
                </a:gs>
                <a:gs pos="50000">
                  <a:srgbClr val="9CB86E"/>
                </a:gs>
                <a:gs pos="100000">
                  <a:srgbClr val="156B13"/>
                </a:gs>
              </a:gsLst>
              <a:lin ang="5400000" scaled="0"/>
            </a:gradFill>
          </c:spPr>
          <c:dLbls>
            <c:txPr>
              <a:bodyPr/>
              <a:lstStyle/>
              <a:p>
                <a:pPr>
                  <a:defRPr sz="900"/>
                </a:pPr>
                <a:endParaRPr lang="uk-UA"/>
              </a:p>
            </c:txPr>
            <c:showVal val="1"/>
          </c:dLbls>
          <c:cat>
            <c:strRef>
              <c:f>'нерухоме майно'!$A$2:$A$6</c:f>
              <c:strCache>
                <c:ptCount val="5"/>
                <c:pt idx="0">
                  <c:v>2024р</c:v>
                </c:pt>
                <c:pt idx="1">
                  <c:v>2025р</c:v>
                </c:pt>
                <c:pt idx="2">
                  <c:v>2026р</c:v>
                </c:pt>
                <c:pt idx="3">
                  <c:v>2027р</c:v>
                </c:pt>
                <c:pt idx="4">
                  <c:v>2028р</c:v>
                </c:pt>
              </c:strCache>
            </c:strRef>
          </c:cat>
          <c:val>
            <c:numRef>
              <c:f>'нерухоме майно'!$D$2:$D$6</c:f>
              <c:numCache>
                <c:formatCode>General</c:formatCode>
                <c:ptCount val="5"/>
                <c:pt idx="0">
                  <c:v>14953.1</c:v>
                </c:pt>
                <c:pt idx="1">
                  <c:v>15600</c:v>
                </c:pt>
                <c:pt idx="2">
                  <c:v>16650</c:v>
                </c:pt>
                <c:pt idx="3">
                  <c:v>17100</c:v>
                </c:pt>
                <c:pt idx="4">
                  <c:v>17550</c:v>
                </c:pt>
              </c:numCache>
            </c:numRef>
          </c:val>
        </c:ser>
        <c:overlap val="100"/>
        <c:axId val="72651904"/>
        <c:axId val="72653440"/>
      </c:barChart>
      <c:catAx>
        <c:axId val="72651904"/>
        <c:scaling>
          <c:orientation val="minMax"/>
        </c:scaling>
        <c:axPos val="b"/>
        <c:numFmt formatCode="@" sourceLinked="1"/>
        <c:tickLblPos val="nextTo"/>
        <c:crossAx val="72653440"/>
        <c:crosses val="autoZero"/>
        <c:auto val="1"/>
        <c:lblAlgn val="ctr"/>
        <c:lblOffset val="100"/>
      </c:catAx>
      <c:valAx>
        <c:axId val="72653440"/>
        <c:scaling>
          <c:orientation val="minMax"/>
        </c:scaling>
        <c:axPos val="l"/>
        <c:majorGridlines>
          <c:spPr>
            <a:ln>
              <a:gradFill>
                <a:gsLst>
                  <a:gs pos="0">
                    <a:schemeClr val="accent1">
                      <a:tint val="66000"/>
                      <a:satMod val="160000"/>
                    </a:schemeClr>
                  </a:gs>
                  <a:gs pos="50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lin ang="5400000" scaled="0"/>
              </a:gradFill>
            </a:ln>
          </c:spPr>
        </c:majorGridlines>
        <c:numFmt formatCode="General" sourceLinked="1"/>
        <c:tickLblPos val="nextTo"/>
        <c:spPr>
          <a:ln>
            <a:noFill/>
          </a:ln>
        </c:spPr>
        <c:crossAx val="72651904"/>
        <c:crosses val="autoZero"/>
        <c:crossBetween val="between"/>
        <c:majorUnit val="5000"/>
      </c:valAx>
    </c:plotArea>
    <c:legend>
      <c:legendPos val="r"/>
      <c:layout/>
    </c:legend>
    <c:plotVisOnly val="1"/>
    <c:dispBlanksAs val="gap"/>
  </c:chart>
  <c:externalData r:id="rId1"/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plotArea>
      <c:layout>
        <c:manualLayout>
          <c:layoutTarget val="inner"/>
          <c:xMode val="edge"/>
          <c:yMode val="edge"/>
          <c:x val="8.2457798038403127E-2"/>
          <c:y val="0.10293963254593176"/>
          <c:w val="0.75142786099106029"/>
          <c:h val="0.80529606876063453"/>
        </c:manualLayout>
      </c:layout>
      <c:barChart>
        <c:barDir val="col"/>
        <c:grouping val="stacked"/>
        <c:ser>
          <c:idx val="0"/>
          <c:order val="0"/>
          <c:tx>
            <c:strRef>
              <c:f>'акцизний податок'!$B$1</c:f>
              <c:strCache>
                <c:ptCount val="1"/>
                <c:pt idx="0">
                  <c:v>роздрібна торгівля</c:v>
                </c:pt>
              </c:strCache>
            </c:strRef>
          </c:tx>
          <c:spPr>
            <a:gradFill>
              <a:gsLst>
                <a:gs pos="0">
                  <a:srgbClr val="03D4A8"/>
                </a:gs>
                <a:gs pos="25000">
                  <a:srgbClr val="21D6E0"/>
                </a:gs>
                <a:gs pos="75000">
                  <a:srgbClr val="0087E6"/>
                </a:gs>
                <a:gs pos="100000">
                  <a:srgbClr val="005CBF"/>
                </a:gs>
              </a:gsLst>
              <a:lin ang="5400000" scaled="0"/>
            </a:gradFill>
          </c:spPr>
          <c:dLbls>
            <c:txPr>
              <a:bodyPr/>
              <a:lstStyle/>
              <a:p>
                <a:pPr>
                  <a:defRPr sz="900"/>
                </a:pPr>
                <a:endParaRPr lang="uk-UA"/>
              </a:p>
            </c:txPr>
            <c:showVal val="1"/>
          </c:dLbls>
          <c:cat>
            <c:strRef>
              <c:f>'акцизний податок'!$A$2:$A$6</c:f>
              <c:strCache>
                <c:ptCount val="5"/>
                <c:pt idx="0">
                  <c:v>2024р</c:v>
                </c:pt>
                <c:pt idx="1">
                  <c:v>2025р</c:v>
                </c:pt>
                <c:pt idx="2">
                  <c:v>2026р</c:v>
                </c:pt>
                <c:pt idx="3">
                  <c:v>2027р</c:v>
                </c:pt>
                <c:pt idx="4">
                  <c:v>2028р</c:v>
                </c:pt>
              </c:strCache>
            </c:strRef>
          </c:cat>
          <c:val>
            <c:numRef>
              <c:f>'акцизний податок'!$B$2:$B$6</c:f>
              <c:numCache>
                <c:formatCode>General</c:formatCode>
                <c:ptCount val="5"/>
                <c:pt idx="0">
                  <c:v>36724.9</c:v>
                </c:pt>
                <c:pt idx="1">
                  <c:v>39600</c:v>
                </c:pt>
                <c:pt idx="2">
                  <c:v>39600</c:v>
                </c:pt>
                <c:pt idx="3">
                  <c:v>39800</c:v>
                </c:pt>
                <c:pt idx="4">
                  <c:v>40000</c:v>
                </c:pt>
              </c:numCache>
            </c:numRef>
          </c:val>
        </c:ser>
        <c:ser>
          <c:idx val="1"/>
          <c:order val="1"/>
          <c:tx>
            <c:strRef>
              <c:f>'акцизний податок'!$C$1</c:f>
              <c:strCache>
                <c:ptCount val="1"/>
                <c:pt idx="0">
                  <c:v>пальне ввезене</c:v>
                </c:pt>
              </c:strCache>
            </c:strRef>
          </c:tx>
          <c:spPr>
            <a:gradFill flip="none" rotWithShape="1">
              <a:gsLst>
                <a:gs pos="0">
                  <a:srgbClr val="FBEAC7"/>
                </a:gs>
                <a:gs pos="17999">
                  <a:srgbClr val="FEE7F2"/>
                </a:gs>
                <a:gs pos="36000">
                  <a:srgbClr val="FAC77D"/>
                </a:gs>
                <a:gs pos="61000">
                  <a:srgbClr val="FBA97D"/>
                </a:gs>
                <a:gs pos="82001">
                  <a:srgbClr val="FBD49C"/>
                </a:gs>
                <a:gs pos="100000">
                  <a:srgbClr val="FEE7F2"/>
                </a:gs>
              </a:gsLst>
              <a:lin ang="13500000" scaled="0"/>
              <a:tileRect/>
            </a:gradFill>
          </c:spPr>
          <c:dLbls>
            <c:txPr>
              <a:bodyPr/>
              <a:lstStyle/>
              <a:p>
                <a:pPr>
                  <a:defRPr sz="900"/>
                </a:pPr>
                <a:endParaRPr lang="uk-UA"/>
              </a:p>
            </c:txPr>
            <c:showVal val="1"/>
          </c:dLbls>
          <c:cat>
            <c:strRef>
              <c:f>'акцизний податок'!$A$2:$A$6</c:f>
              <c:strCache>
                <c:ptCount val="5"/>
                <c:pt idx="0">
                  <c:v>2024р</c:v>
                </c:pt>
                <c:pt idx="1">
                  <c:v>2025р</c:v>
                </c:pt>
                <c:pt idx="2">
                  <c:v>2026р</c:v>
                </c:pt>
                <c:pt idx="3">
                  <c:v>2027р</c:v>
                </c:pt>
                <c:pt idx="4">
                  <c:v>2028р</c:v>
                </c:pt>
              </c:strCache>
            </c:strRef>
          </c:cat>
          <c:val>
            <c:numRef>
              <c:f>'акцизний податок'!$C$2:$C$6</c:f>
              <c:numCache>
                <c:formatCode>General</c:formatCode>
                <c:ptCount val="5"/>
                <c:pt idx="0">
                  <c:v>25825.1</c:v>
                </c:pt>
                <c:pt idx="1">
                  <c:v>30000</c:v>
                </c:pt>
                <c:pt idx="2">
                  <c:v>35000</c:v>
                </c:pt>
                <c:pt idx="3">
                  <c:v>30500</c:v>
                </c:pt>
                <c:pt idx="4">
                  <c:v>31000</c:v>
                </c:pt>
              </c:numCache>
            </c:numRef>
          </c:val>
        </c:ser>
        <c:ser>
          <c:idx val="2"/>
          <c:order val="2"/>
          <c:tx>
            <c:strRef>
              <c:f>'акцизний податок'!$D$1</c:f>
              <c:strCache>
                <c:ptCount val="1"/>
                <c:pt idx="0">
                  <c:v>пальне вироблене</c:v>
                </c:pt>
              </c:strCache>
            </c:strRef>
          </c:tx>
          <c:spPr>
            <a:gradFill>
              <a:gsLst>
                <a:gs pos="0">
                  <a:srgbClr val="5E9EFF"/>
                </a:gs>
                <a:gs pos="39999">
                  <a:srgbClr val="85C2FF"/>
                </a:gs>
                <a:gs pos="70000">
                  <a:srgbClr val="C4D6EB"/>
                </a:gs>
                <a:gs pos="100000">
                  <a:srgbClr val="FFEBFA"/>
                </a:gs>
              </a:gsLst>
              <a:lin ang="5400000" scaled="0"/>
            </a:gradFill>
          </c:spPr>
          <c:dLbls>
            <c:txPr>
              <a:bodyPr/>
              <a:lstStyle/>
              <a:p>
                <a:pPr>
                  <a:defRPr sz="900"/>
                </a:pPr>
                <a:endParaRPr lang="uk-UA"/>
              </a:p>
            </c:txPr>
            <c:showVal val="1"/>
          </c:dLbls>
          <c:cat>
            <c:strRef>
              <c:f>'акцизний податок'!$A$2:$A$6</c:f>
              <c:strCache>
                <c:ptCount val="5"/>
                <c:pt idx="0">
                  <c:v>2024р</c:v>
                </c:pt>
                <c:pt idx="1">
                  <c:v>2025р</c:v>
                </c:pt>
                <c:pt idx="2">
                  <c:v>2026р</c:v>
                </c:pt>
                <c:pt idx="3">
                  <c:v>2027р</c:v>
                </c:pt>
                <c:pt idx="4">
                  <c:v>2028р</c:v>
                </c:pt>
              </c:strCache>
            </c:strRef>
          </c:cat>
          <c:val>
            <c:numRef>
              <c:f>'акцизний податок'!$D$2:$D$6</c:f>
              <c:numCache>
                <c:formatCode>General</c:formatCode>
                <c:ptCount val="5"/>
                <c:pt idx="0">
                  <c:v>4196.3</c:v>
                </c:pt>
                <c:pt idx="1">
                  <c:v>5500</c:v>
                </c:pt>
                <c:pt idx="2">
                  <c:v>5600</c:v>
                </c:pt>
                <c:pt idx="3">
                  <c:v>5700</c:v>
                </c:pt>
                <c:pt idx="4">
                  <c:v>5800</c:v>
                </c:pt>
              </c:numCache>
            </c:numRef>
          </c:val>
        </c:ser>
        <c:overlap val="100"/>
        <c:axId val="72848128"/>
        <c:axId val="72849664"/>
      </c:barChart>
      <c:catAx>
        <c:axId val="72848128"/>
        <c:scaling>
          <c:orientation val="minMax"/>
        </c:scaling>
        <c:axPos val="b"/>
        <c:numFmt formatCode="@" sourceLinked="1"/>
        <c:tickLblPos val="nextTo"/>
        <c:crossAx val="72849664"/>
        <c:crosses val="autoZero"/>
        <c:auto val="1"/>
        <c:lblAlgn val="ctr"/>
        <c:lblOffset val="100"/>
      </c:catAx>
      <c:valAx>
        <c:axId val="72849664"/>
        <c:scaling>
          <c:orientation val="minMax"/>
        </c:scaling>
        <c:axPos val="l"/>
        <c:majorGridlines>
          <c:spPr>
            <a:ln>
              <a:gradFill>
                <a:gsLst>
                  <a:gs pos="0">
                    <a:schemeClr val="accent1">
                      <a:tint val="66000"/>
                      <a:satMod val="160000"/>
                    </a:schemeClr>
                  </a:gs>
                  <a:gs pos="50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lin ang="5400000" scaled="0"/>
              </a:gradFill>
            </a:ln>
          </c:spPr>
        </c:majorGridlines>
        <c:numFmt formatCode="General" sourceLinked="1"/>
        <c:tickLblPos val="nextTo"/>
        <c:spPr>
          <a:ln>
            <a:noFill/>
          </a:ln>
        </c:spPr>
        <c:crossAx val="72848128"/>
        <c:crosses val="autoZero"/>
        <c:crossBetween val="between"/>
        <c:majorUnit val="5000"/>
      </c:valAx>
    </c:plotArea>
    <c:legend>
      <c:legendPos val="r"/>
      <c:layout/>
    </c:legend>
    <c:plotVisOnly val="1"/>
    <c:dispBlanksAs val="gap"/>
  </c:chart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0.11334</cdr:x>
      <cdr:y>0.84095</cdr:y>
    </cdr:from>
    <cdr:to>
      <cdr:x>0.24018</cdr:x>
      <cdr:y>0.89031</cdr:y>
    </cdr:to>
    <cdr:sp macro="" textlink="">
      <cdr:nvSpPr>
        <cdr:cNvPr id="22529" name="Rectangle 1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72367" y="4685869"/>
          <a:ext cx="1312052" cy="275040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9525" algn="ctr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0" bIns="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975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      2026 р.</a:t>
          </a:r>
        </a:p>
      </cdr:txBody>
    </cdr:sp>
  </cdr:relSizeAnchor>
  <cdr:relSizeAnchor xmlns:cdr="http://schemas.openxmlformats.org/drawingml/2006/chartDrawing">
    <cdr:from>
      <cdr:x>0.38751</cdr:x>
      <cdr:y>0.84437</cdr:y>
    </cdr:from>
    <cdr:to>
      <cdr:x>0.49342</cdr:x>
      <cdr:y>0.89373</cdr:y>
    </cdr:to>
    <cdr:sp macro="" textlink="">
      <cdr:nvSpPr>
        <cdr:cNvPr id="22530" name="Rectangle 2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008481" y="4704919"/>
          <a:ext cx="1095549" cy="275040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9525" algn="ctr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0" bIns="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975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    2027 р.</a:t>
          </a:r>
        </a:p>
      </cdr:txBody>
    </cdr:sp>
  </cdr:relSizeAnchor>
  <cdr:relSizeAnchor xmlns:cdr="http://schemas.openxmlformats.org/drawingml/2006/chartDrawing">
    <cdr:from>
      <cdr:x>0.61595</cdr:x>
      <cdr:y>0.83924</cdr:y>
    </cdr:from>
    <cdr:to>
      <cdr:x>0.74624</cdr:x>
      <cdr:y>0.8886</cdr:y>
    </cdr:to>
    <cdr:sp macro="" textlink="">
      <cdr:nvSpPr>
        <cdr:cNvPr id="22531" name="Rectangle 3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6371530" y="4676344"/>
          <a:ext cx="1347739" cy="275040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9525" algn="ctr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0" bIns="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975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      2028 р.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0.22533</cdr:x>
      <cdr:y>0.56184</cdr:y>
    </cdr:from>
    <cdr:to>
      <cdr:x>0.31429</cdr:x>
      <cdr:y>0.67237</cdr:y>
    </cdr:to>
    <cdr:sp macro="" textlink="">
      <cdr:nvSpPr>
        <cdr:cNvPr id="3073" name="AutoShape 1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523995" y="2761368"/>
          <a:ext cx="996477" cy="543244"/>
        </a:xfrm>
        <a:prstGeom xmlns:a="http://schemas.openxmlformats.org/drawingml/2006/main" prst="rightArrow">
          <a:avLst>
            <a:gd name="adj1" fmla="val 50000"/>
            <a:gd name="adj2" fmla="val 39902"/>
          </a:avLst>
        </a:prstGeom>
        <a:solidFill xmlns:a="http://schemas.openxmlformats.org/drawingml/2006/main">
          <a:srgbClr val="FFFFFF"/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  <cdr:txBody>
        <a:bodyPr xmlns:a="http://schemas.openxmlformats.org/drawingml/2006/main" vertOverflow="clip" wrap="square" lIns="27432" tIns="22860" rIns="0" bIns="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10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104,6 %</a:t>
          </a:r>
        </a:p>
      </cdr:txBody>
    </cdr:sp>
  </cdr:relSizeAnchor>
  <cdr:relSizeAnchor xmlns:cdr="http://schemas.openxmlformats.org/drawingml/2006/chartDrawing">
    <cdr:from>
      <cdr:x>0.40013</cdr:x>
      <cdr:y>0.56752</cdr:y>
    </cdr:from>
    <cdr:to>
      <cdr:x>0.48736</cdr:x>
      <cdr:y>0.67805</cdr:y>
    </cdr:to>
    <cdr:sp macro="" textlink="">
      <cdr:nvSpPr>
        <cdr:cNvPr id="3074" name="AutoShape 2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482011" y="2789284"/>
          <a:ext cx="977098" cy="543244"/>
        </a:xfrm>
        <a:prstGeom xmlns:a="http://schemas.openxmlformats.org/drawingml/2006/main" prst="rightArrow">
          <a:avLst>
            <a:gd name="adj1" fmla="val 50000"/>
            <a:gd name="adj2" fmla="val 39128"/>
          </a:avLst>
        </a:prstGeom>
        <a:solidFill xmlns:a="http://schemas.openxmlformats.org/drawingml/2006/main">
          <a:srgbClr val="FFFFFF"/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  <cdr:txBody>
        <a:bodyPr xmlns:a="http://schemas.openxmlformats.org/drawingml/2006/main" vertOverflow="clip" wrap="square" lIns="27432" tIns="22860" rIns="0" bIns="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10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103,5 %</a:t>
          </a:r>
        </a:p>
      </cdr:txBody>
    </cdr:sp>
  </cdr:relSizeAnchor>
  <cdr:relSizeAnchor xmlns:cdr="http://schemas.openxmlformats.org/drawingml/2006/chartDrawing">
    <cdr:from>
      <cdr:x>0.57682</cdr:x>
      <cdr:y>0.56468</cdr:y>
    </cdr:from>
    <cdr:to>
      <cdr:x>0.66579</cdr:x>
      <cdr:y>0.67521</cdr:y>
    </cdr:to>
    <cdr:sp macro="" textlink="">
      <cdr:nvSpPr>
        <cdr:cNvPr id="3076" name="AutoShape 4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6461243" y="2775326"/>
          <a:ext cx="996588" cy="543244"/>
        </a:xfrm>
        <a:prstGeom xmlns:a="http://schemas.openxmlformats.org/drawingml/2006/main" prst="rightArrow">
          <a:avLst>
            <a:gd name="adj1" fmla="val 50000"/>
            <a:gd name="adj2" fmla="val 39902"/>
          </a:avLst>
        </a:prstGeom>
        <a:solidFill xmlns:a="http://schemas.openxmlformats.org/drawingml/2006/main">
          <a:srgbClr val="FFFFFF"/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  <cdr:txBody>
        <a:bodyPr xmlns:a="http://schemas.openxmlformats.org/drawingml/2006/main" vertOverflow="clip" wrap="square" lIns="27432" tIns="22860" rIns="0" bIns="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10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107,6%</a:t>
          </a:r>
        </a:p>
      </cdr:txBody>
    </cdr:sp>
  </cdr:relSizeAnchor>
  <cdr:relSizeAnchor xmlns:cdr="http://schemas.openxmlformats.org/drawingml/2006/chartDrawing">
    <cdr:from>
      <cdr:x>0.7551</cdr:x>
      <cdr:y>0.56008</cdr:y>
    </cdr:from>
    <cdr:to>
      <cdr:x>0.84407</cdr:x>
      <cdr:y>0.67061</cdr:y>
    </cdr:to>
    <cdr:sp macro="" textlink="">
      <cdr:nvSpPr>
        <cdr:cNvPr id="5" name="AutoShape 4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458200" y="2752725"/>
          <a:ext cx="996588" cy="543244"/>
        </a:xfrm>
        <a:prstGeom xmlns:a="http://schemas.openxmlformats.org/drawingml/2006/main" prst="rightArrow">
          <a:avLst>
            <a:gd name="adj1" fmla="val 50000"/>
            <a:gd name="adj2" fmla="val 39902"/>
          </a:avLst>
        </a:prstGeom>
        <a:solidFill xmlns:a="http://schemas.openxmlformats.org/drawingml/2006/main">
          <a:srgbClr val="FFFFFF"/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  <cdr:txBody>
        <a:bodyPr xmlns:a="http://schemas.openxmlformats.org/drawingml/2006/main" wrap="square" lIns="27432" tIns="22860" rIns="0" bIns="0" anchor="ctr" upright="1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 rtl="0">
            <a:defRPr sz="1000"/>
          </a:pPr>
          <a:r>
            <a:rPr lang="ru-RU" sz="10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97,1%</a:t>
          </a: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0.02867</cdr:x>
      <cdr:y>0.02131</cdr:y>
    </cdr:from>
    <cdr:to>
      <cdr:x>0.94598</cdr:x>
      <cdr:y>0.19183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47651" y="114301"/>
          <a:ext cx="79248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 anchor="ctr"/>
        <a:lstStyle xmlns:a="http://schemas.openxmlformats.org/drawingml/2006/main"/>
        <a:p xmlns:a="http://schemas.openxmlformats.org/drawingml/2006/main">
          <a:pPr algn="ctr"/>
          <a:r>
            <a:rPr lang="ru-RU" sz="1600" b="1" i="1">
              <a:latin typeface="+mn-lt"/>
              <a:ea typeface="+mn-ea"/>
              <a:cs typeface="+mn-cs"/>
            </a:rPr>
            <a:t>Динаміка надходжень єдиного податку до бюджету </a:t>
          </a:r>
          <a:endParaRPr lang="ru-RU" sz="1600"/>
        </a:p>
        <a:p xmlns:a="http://schemas.openxmlformats.org/drawingml/2006/main">
          <a:pPr algn="ctr"/>
          <a:r>
            <a:rPr lang="ru-RU" sz="1600" b="1" i="1">
              <a:latin typeface="+mn-lt"/>
              <a:ea typeface="+mn-ea"/>
              <a:cs typeface="+mn-cs"/>
            </a:rPr>
            <a:t>Лубенської територіальної громади (тис.грн)</a:t>
          </a:r>
          <a:endParaRPr lang="ru-RU" sz="1600"/>
        </a:p>
      </cdr:txBody>
    </cdr:sp>
  </cdr:relSizeAnchor>
  <cdr:relSizeAnchor xmlns:cdr="http://schemas.openxmlformats.org/drawingml/2006/chartDrawing">
    <cdr:from>
      <cdr:x>0.75083</cdr:x>
      <cdr:y>0.43517</cdr:y>
    </cdr:from>
    <cdr:to>
      <cdr:x>0.84537</cdr:x>
      <cdr:y>0.54707</cdr:y>
    </cdr:to>
    <cdr:sp macro="" textlink="">
      <cdr:nvSpPr>
        <cdr:cNvPr id="3" name="AutoShape 1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594596" y="1356387"/>
          <a:ext cx="578555" cy="348782"/>
        </a:xfrm>
        <a:prstGeom xmlns:a="http://schemas.openxmlformats.org/drawingml/2006/main" prst="rightArrow">
          <a:avLst>
            <a:gd name="adj1" fmla="val 50000"/>
            <a:gd name="adj2" fmla="val 39902"/>
          </a:avLst>
        </a:prstGeom>
        <a:solidFill xmlns:a="http://schemas.openxmlformats.org/drawingml/2006/main">
          <a:srgbClr val="FFFFFF"/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  <cdr:txBody>
        <a:bodyPr xmlns:a="http://schemas.openxmlformats.org/drawingml/2006/main" wrap="square" lIns="27432" tIns="22860" rIns="0" bIns="0" anchor="ctr" upright="1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pPr algn="ctr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102,9 %</a:t>
          </a:r>
        </a:p>
      </cdr:txBody>
    </cdr:sp>
  </cdr:relSizeAnchor>
  <cdr:relSizeAnchor xmlns:cdr="http://schemas.openxmlformats.org/drawingml/2006/chartDrawing">
    <cdr:from>
      <cdr:x>0.60813</cdr:x>
      <cdr:y>0.43717</cdr:y>
    </cdr:from>
    <cdr:to>
      <cdr:x>0.69595</cdr:x>
      <cdr:y>0.54907</cdr:y>
    </cdr:to>
    <cdr:sp macro="" textlink="">
      <cdr:nvSpPr>
        <cdr:cNvPr id="8" name="AutoShape 1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721348" y="1362614"/>
          <a:ext cx="537404" cy="348782"/>
        </a:xfrm>
        <a:prstGeom xmlns:a="http://schemas.openxmlformats.org/drawingml/2006/main" prst="rightArrow">
          <a:avLst>
            <a:gd name="adj1" fmla="val 50000"/>
            <a:gd name="adj2" fmla="val 39902"/>
          </a:avLst>
        </a:prstGeom>
        <a:solidFill xmlns:a="http://schemas.openxmlformats.org/drawingml/2006/main">
          <a:srgbClr val="FFFFFF"/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  <cdr:txBody>
        <a:bodyPr xmlns:a="http://schemas.openxmlformats.org/drawingml/2006/main" wrap="square" lIns="27432" tIns="22860" rIns="0" bIns="0" anchor="ctr" upright="1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102,7 %</a:t>
          </a:r>
        </a:p>
      </cdr:txBody>
    </cdr:sp>
  </cdr:relSizeAnchor>
  <cdr:relSizeAnchor xmlns:cdr="http://schemas.openxmlformats.org/drawingml/2006/chartDrawing">
    <cdr:from>
      <cdr:x>0.41455</cdr:x>
      <cdr:y>0.4476</cdr:y>
    </cdr:from>
    <cdr:to>
      <cdr:x>0.50364</cdr:x>
      <cdr:y>0.5595</cdr:y>
    </cdr:to>
    <cdr:sp macro="" textlink="">
      <cdr:nvSpPr>
        <cdr:cNvPr id="9" name="AutoShape 1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536779" y="1395130"/>
          <a:ext cx="545180" cy="348782"/>
        </a:xfrm>
        <a:prstGeom xmlns:a="http://schemas.openxmlformats.org/drawingml/2006/main" prst="rightArrow">
          <a:avLst>
            <a:gd name="adj1" fmla="val 50000"/>
            <a:gd name="adj2" fmla="val 39902"/>
          </a:avLst>
        </a:prstGeom>
        <a:solidFill xmlns:a="http://schemas.openxmlformats.org/drawingml/2006/main">
          <a:srgbClr val="FFFFFF"/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  <cdr:txBody>
        <a:bodyPr xmlns:a="http://schemas.openxmlformats.org/drawingml/2006/main" wrap="square" lIns="27432" tIns="22860" rIns="0" bIns="0" anchor="ctr" upright="1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103,6 %</a:t>
          </a:r>
        </a:p>
      </cdr:txBody>
    </cdr:sp>
  </cdr:relSizeAnchor>
  <cdr:relSizeAnchor xmlns:cdr="http://schemas.openxmlformats.org/drawingml/2006/chartDrawing">
    <cdr:from>
      <cdr:x>0.24807</cdr:x>
      <cdr:y>0.44583</cdr:y>
    </cdr:from>
    <cdr:to>
      <cdr:x>0.34122</cdr:x>
      <cdr:y>0.55773</cdr:y>
    </cdr:to>
    <cdr:sp macro="" textlink="">
      <cdr:nvSpPr>
        <cdr:cNvPr id="10" name="AutoShape 1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518029" y="1389613"/>
          <a:ext cx="570017" cy="348782"/>
        </a:xfrm>
        <a:prstGeom xmlns:a="http://schemas.openxmlformats.org/drawingml/2006/main" prst="rightArrow">
          <a:avLst>
            <a:gd name="adj1" fmla="val 50000"/>
            <a:gd name="adj2" fmla="val 39902"/>
          </a:avLst>
        </a:prstGeom>
        <a:solidFill xmlns:a="http://schemas.openxmlformats.org/drawingml/2006/main">
          <a:srgbClr val="FFFFFF"/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  <cdr:txBody>
        <a:bodyPr xmlns:a="http://schemas.openxmlformats.org/drawingml/2006/main" wrap="square" lIns="27432" tIns="22860" rIns="0" bIns="0" anchor="ctr" upright="1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111,1 %</a:t>
          </a:r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0.06444</cdr:x>
      <cdr:y>0</cdr:y>
    </cdr:from>
    <cdr:to>
      <cdr:x>0.98808</cdr:x>
      <cdr:y>0.0989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394418" y="0"/>
          <a:ext cx="5653378" cy="35812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uk-UA" sz="1400" b="1"/>
            <a:t>Динаміка надходження</a:t>
          </a:r>
          <a:r>
            <a:rPr lang="uk-UA" sz="1400" b="1" baseline="0"/>
            <a:t> плати за землю та податку на нерухоме майно</a:t>
          </a:r>
          <a:endParaRPr lang="uk-UA" sz="1400" b="1"/>
        </a:p>
      </cdr:txBody>
    </cdr: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0.13684</cdr:x>
      <cdr:y>0</cdr:y>
    </cdr:from>
    <cdr:to>
      <cdr:x>0.89023</cdr:x>
      <cdr:y>0.0989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866774" y="0"/>
          <a:ext cx="4772025" cy="3429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 anchor="ctr"/>
        <a:lstStyle xmlns:a="http://schemas.openxmlformats.org/drawingml/2006/main"/>
        <a:p xmlns:a="http://schemas.openxmlformats.org/drawingml/2006/main">
          <a:pPr algn="ctr"/>
          <a:r>
            <a:rPr lang="uk-UA" sz="1400" b="1"/>
            <a:t>Динаміка надходжень</a:t>
          </a:r>
          <a:r>
            <a:rPr lang="uk-UA" sz="1400" b="1" baseline="0"/>
            <a:t> акцизного податку</a:t>
          </a:r>
          <a:endParaRPr lang="uk-UA" sz="1400" b="1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B6D041-FF13-4371-96AE-EE25F6664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22249</Words>
  <Characters>12682</Characters>
  <Application>Microsoft Office Word</Application>
  <DocSecurity>0</DocSecurity>
  <Lines>105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Nachalnik</cp:lastModifiedBy>
  <cp:revision>2</cp:revision>
  <cp:lastPrinted>2025-08-25T07:27:00Z</cp:lastPrinted>
  <dcterms:created xsi:type="dcterms:W3CDTF">2025-08-25T07:28:00Z</dcterms:created>
  <dcterms:modified xsi:type="dcterms:W3CDTF">2025-08-25T07:28:00Z</dcterms:modified>
</cp:coreProperties>
</file>