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40"/>
        <w:gridCol w:w="40"/>
        <w:gridCol w:w="20"/>
        <w:gridCol w:w="20"/>
        <w:gridCol w:w="20"/>
        <w:gridCol w:w="60"/>
        <w:gridCol w:w="80"/>
        <w:gridCol w:w="160"/>
        <w:gridCol w:w="280"/>
        <w:gridCol w:w="80"/>
        <w:gridCol w:w="20"/>
        <w:gridCol w:w="280"/>
        <w:gridCol w:w="20"/>
        <w:gridCol w:w="80"/>
        <w:gridCol w:w="80"/>
        <w:gridCol w:w="60"/>
        <w:gridCol w:w="200"/>
        <w:gridCol w:w="80"/>
        <w:gridCol w:w="300"/>
        <w:gridCol w:w="180"/>
        <w:gridCol w:w="20"/>
        <w:gridCol w:w="80"/>
        <w:gridCol w:w="80"/>
        <w:gridCol w:w="20"/>
        <w:gridCol w:w="220"/>
        <w:gridCol w:w="20"/>
        <w:gridCol w:w="100"/>
        <w:gridCol w:w="380"/>
        <w:gridCol w:w="80"/>
        <w:gridCol w:w="2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4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12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3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5960" w:type="dxa"/>
            <w:gridSpan w:val="11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24"/>
              </w:rPr>
              <w:t>БЮДЖЕТНИЙ ЗАПИТ НА 2021 – 2023 РОКИ індивідуальний ( Форма 2021-2)</w:t>
            </w: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3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642E1" w:rsidRDefault="00032097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642E1" w:rsidRDefault="00032097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r>
              <w:rPr>
                <w:sz w:val="18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1642E1" w:rsidRDefault="00032097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1642E1" w:rsidRDefault="00032097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0611200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1200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both"/>
            </w:pPr>
            <w: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642E1" w:rsidRDefault="00032097">
            <w:pPr>
              <w:spacing w:after="200"/>
              <w:ind w:left="500"/>
            </w:pPr>
            <w:r>
              <w:t>Надання освіти  особам з особливими освітніми потребами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642E1" w:rsidRDefault="00032097">
            <w:pPr>
              <w:ind w:left="500"/>
            </w:pPr>
            <w:r>
              <w:t>Забезпечити надання відповідних послуг особам з особливими освітніми потребами денними закладами дошкільної та  загальної середньої освіти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642E1" w:rsidRDefault="00032097">
            <w:pPr>
              <w:ind w:left="500"/>
            </w:pPr>
            <w:r>
              <w:t xml:space="preserve"> Конституція України, Бюджетний кодекс України від 08.07.2010 р. №2456-VІ зі змінами, Закон України "Про освіту"  від 05.09.2017 р. №2145-VIII зі змінами, Закон України "Про загальну середню освіту" від 13 травня 1999 р.   №651-XIV зі змінами, Закон Україн</w:t>
            </w:r>
            <w:r>
              <w:t>и від 16.07.1999 р. №996-XIY «Про бухгалтерський облік та фінансову звітність в Україні» зі змінами, Постанови кабінету міністрів України, Укази та розпорядження Президента України.</w:t>
            </w: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3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1) надходження для виконання бюджетної програми у 2019 - 2021 роках:</w:t>
            </w: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3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2019 рік (звіт)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2020 рік (затверджено)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2021 рік (проект)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498 283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498 283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до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3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бюджету розвитку (спеціального фонду)</w:t>
            </w: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498 283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751 128</w:t>
            </w: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2) надходження для виконання бюджетної програми у 2022-2023 роках: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2022 рік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2023 рік (прогноз)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529 177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529 177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557 223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557 223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282 573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529 177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797 698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557 223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282 753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282 573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839 976</w:t>
            </w: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 xml:space="preserve">1) видатки за кодами Економічної класифікації видатків бюджету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408 420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408 420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89 863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89 863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498 283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751 128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 xml:space="preserve">2) надання кредитів за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1642E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3) видатки за кодами Економічної класифікації видатків бюджету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433 752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433 752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456 740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456 740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95 425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95 425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100 483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100 483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529 177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797 698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557 223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839 976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4) надання кредитів за кодами Класифікації кредитування бюджету у 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відповідних послуг особам з особливими освітніми потребами денними закладами дошкільної та  загальної середньої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498 283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751 128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498 283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252 845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751 128</w:t>
            </w: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642E1" w:rsidRDefault="001642E1">
            <w:pPr>
              <w:pStyle w:val="EMPTYCELLSTYLE"/>
            </w:pPr>
          </w:p>
        </w:tc>
        <w:tc>
          <w:tcPr>
            <w:tcW w:w="2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надання відповідних послуг особам з особливими освітніми потребами денними закладами дошкільної та  загальної середньої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529 177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268 521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797 698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557 223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839 976</w:t>
            </w: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529 177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268 521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797 698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557 223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282 753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839 976</w:t>
            </w: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59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1) результативні показники бюджетної програми у 2019 - 2021 роках: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2019 рік(звіт)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2020 рік(затверджено)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2021 рік(проект)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відповідних послуг особам з особливими освітніми потребами денними закладами дошкільної та  загальної середньої освіти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Тарифікація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осіб з числа дітей-сиріт та дітей, позбавлених батьківського піклування, яким буде виплачуватися одноразова грошова допомога при працевлаштуванні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Річна звітність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13113,00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6654,00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19767,00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з особливими освітніми потебами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left="60"/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Річна звітність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12940" w:type="dxa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2) результативні показники бюджетної програми у   2022-2023 роках: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надання відповідних послуг особам з особливими освітніми потребами денними закладами дошкільної та  загальної середньої освіти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шкіл),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19,00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Тарифікація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осіб з числа дітей-сиріт та дітей, позбавлених батьківського піклування, яким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Річна звітність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80" w:type="dxa"/>
          </w:tcPr>
          <w:p w:rsidR="001642E1" w:rsidRDefault="001642E1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буде виплачуватися одноразова грошова допомога при працевлаштуванні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учня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13926,00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7066,00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20992,00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14000,00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7440,00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21440,00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Відсоток охоплення дітей з особливими освітніми потебами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left="60"/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Річна звітність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408 420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433 752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456 740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326 743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347 000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365 400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81 677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86 752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91 340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408 420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433 752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456 740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Педагогічні працівники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28,00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080"/>
        </w:trPr>
        <w:tc>
          <w:tcPr>
            <w:tcW w:w="0" w:type="auto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left="60"/>
            </w:pPr>
            <w:r>
              <w:rPr>
                <w:b/>
                <w:sz w:val="22"/>
              </w:rPr>
              <w:t>11. Міс</w:t>
            </w:r>
            <w:r>
              <w:rPr>
                <w:b/>
                <w:sz w:val="22"/>
              </w:rPr>
              <w:t>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left="60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252 845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642E1" w:rsidRDefault="00032097">
            <w:pPr>
              <w:spacing w:after="200"/>
            </w:pPr>
            <w:r>
              <w:t>Для створення умов   для  здобуття  громадянами</w:t>
            </w:r>
            <w:r>
              <w:t xml:space="preserve">  з особливими освітніми потребами повної   загальної  середньої освіти у 2021 розі по загальному фонду планується освітньої субвенції на суму  498283 грн. Прогнозні показники на 2022 та 2023 р. 529177 грн. та 557223 грн. відповідно.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 xml:space="preserve">14. Бюджетні зобов'язання у 2019 і 2021 роках : 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2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0" w:type="auto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Бюджетні зобов'</w:t>
            </w:r>
            <w:r>
              <w:rPr>
                <w:sz w:val="16"/>
              </w:rPr>
              <w:t>язання (4+6)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1642E1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 xml:space="preserve">2) кредиторська заборгованість місцевого бюджету у   2020-2021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t>2021 рік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</w:t>
            </w:r>
            <w:r>
              <w:rPr>
                <w:sz w:val="16"/>
              </w:rPr>
              <w:t>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408 420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408 420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89 863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sz w:val="16"/>
              </w:rPr>
              <w:t>89 863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498 283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right="60"/>
              <w:jc w:val="right"/>
            </w:pPr>
            <w:r>
              <w:rPr>
                <w:b/>
                <w:sz w:val="16"/>
              </w:rPr>
              <w:t>498 283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</w:rPr>
              <w:t>3) дебіторська заборгованість у 2019-2020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642E1" w:rsidRDefault="0003209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642E1" w:rsidRDefault="001642E1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left="60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ind w:right="60"/>
              <w:jc w:val="right"/>
            </w:pP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1642E1">
            <w:pPr>
              <w:jc w:val="center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642E1" w:rsidRDefault="00032097">
            <w:pPr>
              <w:spacing w:after="200"/>
              <w:ind w:left="400"/>
              <w:jc w:val="both"/>
            </w:pPr>
            <w:r>
              <w:t>Проводиться систематичний моніторинг кошторисних призначень, що приводить до запобігання кредиторської та дебіторської заборгованості.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  <w:pageBreakBefore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42E1" w:rsidRDefault="00032097">
            <w:r>
              <w:rPr>
                <w:b/>
              </w:rPr>
              <w:t>15. Підстави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642E1" w:rsidRDefault="00032097">
            <w:pPr>
              <w:spacing w:after="200"/>
              <w:jc w:val="both"/>
            </w:pPr>
            <w:r>
              <w:t>Для створення умов   для  здобуття  громадянами  з особливими освітніми потребами повної   загальної  середньої освіти у 2021 розі по  фонду розвитку надано сосвітньої субвенції на суму  252845 грн. Прогнозні показники на 2022 та 202</w:t>
            </w:r>
            <w:r>
              <w:t>3 р. 268521 грн. та 282753 грн. відповідно.</w:t>
            </w: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t>Мирослав КОСТЕНКО</w:t>
            </w:r>
          </w:p>
        </w:tc>
        <w:tc>
          <w:tcPr>
            <w:tcW w:w="0" w:type="auto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1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r>
              <w:t>Олена РОМАНЕНКО</w:t>
            </w:r>
          </w:p>
        </w:tc>
        <w:tc>
          <w:tcPr>
            <w:tcW w:w="0" w:type="auto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  <w:tr w:rsidR="001642E1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42E1" w:rsidRDefault="00032097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642E1" w:rsidRDefault="001642E1">
            <w:pPr>
              <w:pStyle w:val="EMPTYCELLSTYLE"/>
            </w:pPr>
          </w:p>
        </w:tc>
      </w:tr>
    </w:tbl>
    <w:p w:rsidR="00032097" w:rsidRDefault="00032097"/>
    <w:sectPr w:rsidR="00032097" w:rsidSect="001642E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1642E1"/>
    <w:rsid w:val="00032097"/>
    <w:rsid w:val="001642E1"/>
    <w:rsid w:val="001E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642E1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2714</Words>
  <Characters>15476</Characters>
  <Application>Microsoft Office Word</Application>
  <DocSecurity>0</DocSecurity>
  <Lines>128</Lines>
  <Paragraphs>36</Paragraphs>
  <ScaleCrop>false</ScaleCrop>
  <Company/>
  <LinksUpToDate>false</LinksUpToDate>
  <CharactersWithSpaces>18154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2021-01-21T12:11:00Z</dcterms:created>
  <dcterms:modified xsi:type="dcterms:W3CDTF">2021-01-21T12:11:00Z</dcterms:modified>
</cp:coreProperties>
</file>