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20"/>
        <w:gridCol w:w="20"/>
        <w:gridCol w:w="380"/>
        <w:gridCol w:w="280"/>
        <w:gridCol w:w="40"/>
        <w:gridCol w:w="160"/>
        <w:gridCol w:w="20"/>
        <w:gridCol w:w="80"/>
        <w:gridCol w:w="240"/>
        <w:gridCol w:w="60"/>
        <w:gridCol w:w="20"/>
        <w:gridCol w:w="380"/>
        <w:gridCol w:w="40"/>
        <w:gridCol w:w="80"/>
        <w:gridCol w:w="4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40"/>
        <w:gridCol w:w="180"/>
        <w:gridCol w:w="120"/>
        <w:gridCol w:w="20"/>
        <w:gridCol w:w="160"/>
        <w:gridCol w:w="80"/>
        <w:gridCol w:w="100"/>
        <w:gridCol w:w="60"/>
        <w:gridCol w:w="60"/>
        <w:gridCol w:w="420"/>
        <w:gridCol w:w="80"/>
        <w:gridCol w:w="120"/>
        <w:gridCol w:w="20"/>
        <w:gridCol w:w="40"/>
        <w:gridCol w:w="40"/>
        <w:gridCol w:w="20"/>
        <w:gridCol w:w="60"/>
        <w:gridCol w:w="100"/>
        <w:gridCol w:w="140"/>
        <w:gridCol w:w="280"/>
        <w:gridCol w:w="80"/>
        <w:gridCol w:w="20"/>
        <w:gridCol w:w="300"/>
        <w:gridCol w:w="80"/>
        <w:gridCol w:w="100"/>
        <w:gridCol w:w="40"/>
        <w:gridCol w:w="200"/>
        <w:gridCol w:w="80"/>
        <w:gridCol w:w="300"/>
        <w:gridCol w:w="200"/>
        <w:gridCol w:w="80"/>
        <w:gridCol w:w="100"/>
        <w:gridCol w:w="220"/>
        <w:gridCol w:w="20"/>
        <w:gridCol w:w="100"/>
        <w:gridCol w:w="380"/>
        <w:gridCol w:w="100"/>
        <w:gridCol w:w="80"/>
        <w:gridCol w:w="100"/>
        <w:gridCol w:w="120"/>
        <w:gridCol w:w="140"/>
        <w:gridCol w:w="180"/>
        <w:gridCol w:w="60"/>
        <w:gridCol w:w="320"/>
        <w:gridCol w:w="80"/>
        <w:gridCol w:w="100"/>
        <w:gridCol w:w="20"/>
        <w:gridCol w:w="80"/>
        <w:gridCol w:w="420"/>
        <w:gridCol w:w="20"/>
        <w:gridCol w:w="100"/>
        <w:gridCol w:w="80"/>
        <w:gridCol w:w="100"/>
        <w:gridCol w:w="80"/>
        <w:gridCol w:w="20"/>
        <w:gridCol w:w="20"/>
        <w:gridCol w:w="8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40"/>
        <w:gridCol w:w="20"/>
        <w:gridCol w:w="100"/>
      </w:tblGrid>
      <w:tr w:rsidR="006900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5960" w:type="dxa"/>
            <w:gridSpan w:val="1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b/>
                <w:sz w:val="24"/>
              </w:rPr>
              <w:t xml:space="preserve">БЮДЖЕТНИЙ ЗАПИТ НА 2021 – 2023 РОКИ індивідуальний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Форма 2021-2)</w:t>
            </w: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90090" w:rsidRDefault="00734D37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90090" w:rsidRDefault="00734D37">
            <w:r>
              <w:rPr>
                <w:b/>
                <w:sz w:val="18"/>
              </w:rPr>
              <w:t>Управління освіти виконавчого комітету Лубенської міської ради Лубенського району Полтавської області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84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 xml:space="preserve">(найменування головного розпорядника коштів </w:t>
            </w:r>
            <w:proofErr w:type="gramStart"/>
            <w:r>
              <w:rPr>
                <w:sz w:val="14"/>
              </w:rPr>
              <w:t>м</w:t>
            </w:r>
            <w:proofErr w:type="gramEnd"/>
            <w:r>
              <w:rPr>
                <w:sz w:val="14"/>
              </w:rPr>
              <w:t>ісцевого бюджету)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r>
              <w:rPr>
                <w:sz w:val="18"/>
              </w:rPr>
              <w:t xml:space="preserve">Управління освіти виконавчого комітету Лубенської міської </w:t>
            </w:r>
            <w:proofErr w:type="gramStart"/>
            <w:r>
              <w:rPr>
                <w:sz w:val="18"/>
              </w:rPr>
              <w:t>ради</w:t>
            </w:r>
            <w:proofErr w:type="gramEnd"/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690090" w:rsidRDefault="00734D37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690090" w:rsidRDefault="00734D37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84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t>0617321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t>7321</w:t>
            </w:r>
          </w:p>
        </w:tc>
        <w:tc>
          <w:tcPr>
            <w:tcW w:w="1760" w:type="dxa"/>
            <w:gridSpan w:val="1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t>0443</w:t>
            </w:r>
          </w:p>
        </w:tc>
        <w:tc>
          <w:tcPr>
            <w:tcW w:w="6520" w:type="dxa"/>
            <w:gridSpan w:val="5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both"/>
            </w:pPr>
            <w:r>
              <w:t>Будівництво освітніх установ та закладі</w:t>
            </w:r>
            <w:proofErr w:type="gramStart"/>
            <w:r>
              <w:t>в</w:t>
            </w:r>
            <w:proofErr w:type="gramEnd"/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t>16565000000</w:t>
            </w: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4"/>
              </w:rPr>
              <w:t>(код Програмної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1760" w:type="dxa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4"/>
              </w:rPr>
              <w:t>(код Функціональної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бюджету)</w:t>
            </w:r>
          </w:p>
        </w:tc>
        <w:tc>
          <w:tcPr>
            <w:tcW w:w="6520" w:type="dxa"/>
            <w:gridSpan w:val="5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4"/>
              </w:rPr>
              <w:t xml:space="preserve">(найменування бюджетної програми згідно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r>
              <w:rPr>
                <w:b/>
              </w:rPr>
              <w:t>4. Мета та завдання бюджетної програми на 2021 - 2023 роки:</w:t>
            </w: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10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90090" w:rsidRDefault="00734D37">
            <w:pPr>
              <w:spacing w:after="200"/>
              <w:ind w:left="500"/>
            </w:pPr>
            <w:r>
              <w:t>Забезпечення будівництва та реконструкції об`єкті</w:t>
            </w:r>
            <w:proofErr w:type="gramStart"/>
            <w:r>
              <w:t>в</w:t>
            </w:r>
            <w:proofErr w:type="gramEnd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90090" w:rsidRDefault="00734D37">
            <w:pPr>
              <w:ind w:left="500"/>
            </w:pPr>
            <w:r>
              <w:t>Забезпечення будівництва, забезпечення  реконструкції об’єкті</w:t>
            </w:r>
            <w:proofErr w:type="gramStart"/>
            <w:r>
              <w:t>в</w:t>
            </w:r>
            <w:proofErr w:type="gramEnd"/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400"/>
            </w:pPr>
            <w:r>
              <w:rPr>
                <w:b/>
              </w:rPr>
              <w:t xml:space="preserve">3)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реалізації бюджетної програми.</w:t>
            </w: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90090" w:rsidRDefault="00734D37">
            <w:pPr>
              <w:ind w:left="500"/>
            </w:pPr>
            <w:r>
              <w:t>Конституція України, Бюджетний кодекс України від 08.07.2010 р. №2456-VІ зі змінами, Закон України "Про освіту"  від 05.09.2017 р. №2145-VIII зі змінами,  Постанови кабінету міні</w:t>
            </w:r>
            <w:proofErr w:type="gramStart"/>
            <w:r>
              <w:t>стр</w:t>
            </w:r>
            <w:proofErr w:type="gramEnd"/>
            <w:r>
              <w:t>ів України, Укази та розпорядження Президента України.</w:t>
            </w: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1700" w:type="dxa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 xml:space="preserve">1) надходження для виконання бюджетної програми у 2019 - 2021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t xml:space="preserve">2019 </w:t>
            </w:r>
            <w:proofErr w:type="gramStart"/>
            <w:r>
              <w:t>р</w:t>
            </w:r>
            <w:proofErr w:type="gramEnd"/>
            <w:r>
              <w:t>ік (звіт)</w:t>
            </w:r>
          </w:p>
        </w:tc>
        <w:tc>
          <w:tcPr>
            <w:tcW w:w="42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t xml:space="preserve">2020 </w:t>
            </w:r>
            <w:proofErr w:type="gramStart"/>
            <w:r>
              <w:t>р</w:t>
            </w:r>
            <w:proofErr w:type="gramEnd"/>
            <w:r>
              <w:t>ік (затверджено)</w:t>
            </w:r>
          </w:p>
        </w:tc>
        <w:tc>
          <w:tcPr>
            <w:tcW w:w="42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  <w:r>
              <w:t>ік (проект)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  <w:pageBreakBefore/>
            </w:pPr>
          </w:p>
        </w:tc>
        <w:tc>
          <w:tcPr>
            <w:tcW w:w="8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5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х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основною діяльністю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25010200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бюджетних установ від додаткової (господарської) діяльності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оренду майна бюджетних установ, що здійснюється відповідного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Закону України «Про оренду державного та комунального майна»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бюджетних установ від реалізації в установленому порядку майна (крім нерухомого майна)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Благодійні внески, гранти та дарунки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58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25020200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Надходження, що отримають бюджетні установи від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об`є</w:t>
            </w:r>
            <w:r>
              <w:rPr>
                <w:rFonts w:ascii="Arial" w:eastAsia="Arial" w:hAnsi="Arial" w:cs="Arial"/>
                <w:sz w:val="16"/>
              </w:rPr>
              <w:t xml:space="preserve">ктів нерухомого майна, що перебувають у приватній власності фізичних або юридичних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42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25020300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 xml:space="preserve">Надходження, що отримують державні і комунальні заклади професійної (професійно-технічної), фахової передвищої та вищої освіти від розміщення на депозитах тимчасово вільних бюджетних коштів, отриманих за надання платних послуг, якщо таким закладам законом </w:t>
            </w:r>
            <w:r>
              <w:rPr>
                <w:rFonts w:ascii="Arial" w:eastAsia="Arial" w:hAnsi="Arial" w:cs="Arial"/>
                <w:sz w:val="16"/>
              </w:rPr>
              <w:t>надано відповідне право, надходження, що отримають державні і комунальні заклади фахової передвищої та вищої освіти, наукові установи та заклади культури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як відсотки, нараховані на залишок коштів на поточних рахунках, відкритих у банках державного сектору </w:t>
            </w:r>
            <w:r>
              <w:rPr>
                <w:rFonts w:ascii="Arial" w:eastAsia="Arial" w:hAnsi="Arial" w:cs="Arial"/>
                <w:sz w:val="16"/>
              </w:rPr>
              <w:t xml:space="preserve">для розміщення власних надходжень, отриманих як плата за послуги, що надаються ними згідно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основною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діяльністю, благодійні внески та гранти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5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5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90090" w:rsidRDefault="0069009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Кошти, що передаються із загального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3 967 535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3 967 535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3 967 535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3 369 410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3 369 410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3 369 410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3 967 535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3 967 535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3 967 535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3 369 410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3 369 410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3 369 410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 xml:space="preserve">2) надходження для виконання бюджетної програми у 2022-2023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t xml:space="preserve">2022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42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t xml:space="preserve">2023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2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Кошти, що передаються із загального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212 400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212 400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212 400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223 657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223 657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223 657</w:t>
            </w:r>
          </w:p>
        </w:tc>
        <w:tc>
          <w:tcPr>
            <w:tcW w:w="2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223 657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223 657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223 657</w:t>
            </w:r>
          </w:p>
        </w:tc>
        <w:tc>
          <w:tcPr>
            <w:tcW w:w="2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1)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2019 - 2021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3122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Капітальне будівництво (придбання) інших об'єкті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1 525 925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1 525 925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1 525 925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149 757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149 757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149 757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3142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Реконструкція та реставрація інших об'</w:t>
            </w:r>
            <w:r>
              <w:rPr>
                <w:rFonts w:ascii="Arial" w:eastAsia="Arial" w:hAnsi="Arial" w:cs="Arial"/>
                <w:sz w:val="16"/>
              </w:rPr>
              <w:t>єкті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2 441 610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2 441 610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2 441 610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3 219 653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3 219 653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3 219 653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3 967 535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3 967 535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3 967 535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3 369 410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3 369 410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3 369 410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2)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2019 - 2021 роках: </w:t>
            </w: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90090" w:rsidRDefault="0069009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3)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3142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Реконструкція та реставрація інших об'єкті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212 400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212 400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223 657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223 657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223 657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223 657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223 657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223 657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4)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r>
              <w:rPr>
                <w:b/>
              </w:rPr>
              <w:t>7. Витрати за напрямами використання бюджетних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1) витрати за напрямами використання бюджетних коштів у 2019 - 2021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будівництва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1 525 925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1 525 925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1 525 925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149 757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149 757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149 757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 реконструкції об’єкті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2 441 610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2 441 610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2 441 610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3 219 653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3 219 653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3 219 653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3 967 535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3 967 535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3 967 535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3 369 410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3 369 410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3 369 410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2) витрати за напрямами використання бюджетних коштів у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 реконструкції об’єкті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212 400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212 400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223 657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223 657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223 657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223 657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223 657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223 657</w:t>
            </w: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5940" w:type="dxa"/>
            <w:gridSpan w:val="10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 xml:space="preserve">1) результативні показники бюджетної програми у 2019 - 2021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ік(звіт)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ік(затверджено)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ік(проект)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будівництва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 на будівництво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Лімітна довідка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1525925,00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1525925,00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149757,00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149757,00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об’єкті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, які планується побудувати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Бюджетний запит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будівництво  одного об’єкту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Лімітна довідка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381481,00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381481,00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37439,00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37439,00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івень виконання кошторису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89,00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89,00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кількості об`єктів будівництва порівняно з попереднім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обсягу будівництва порівняно з попереднім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480,00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480,00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івень готовності обєктів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Акт виконаних робі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</w:t>
            </w:r>
            <w:proofErr w:type="gram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2</w:t>
            </w:r>
          </w:p>
        </w:tc>
        <w:tc>
          <w:tcPr>
            <w:tcW w:w="15340" w:type="dxa"/>
            <w:gridSpan w:val="10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 реконструкції об’єкті</w:t>
            </w:r>
            <w:proofErr w:type="gramStart"/>
            <w:r>
              <w:rPr>
                <w:rFonts w:ascii="Arial" w:eastAsia="Arial" w:hAnsi="Arial" w:cs="Arial"/>
                <w:i/>
                <w:sz w:val="14"/>
              </w:rPr>
              <w:t>в</w:t>
            </w:r>
            <w:proofErr w:type="gramEnd"/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 на реконструкцію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Лімітна довідка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2441610,00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2441610,00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3219653,00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3219653,00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200000,00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об’єкті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>, які планується реконструювати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Бюджетний запит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реконструкцію одного об’єкту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Лімітна довідка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488322,00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488322,00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321965,00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321965,00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200000,00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івень виконання кошторису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94,00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94,00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кількості об`єктів реконструкції порівняно з попереднім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80,00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80,00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обсягу реконструкції порівняно з попереднім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Акт виконаних робі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</w:t>
            </w:r>
            <w:proofErr w:type="gram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123,00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123,00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івень готовності обєктів реконструкції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Акт виконаних робі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</w:t>
            </w:r>
            <w:proofErr w:type="gram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80,00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80,00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294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 xml:space="preserve">2) результативні показники бюджетної програми у   2022-2023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2</w:t>
            </w:r>
          </w:p>
        </w:tc>
        <w:tc>
          <w:tcPr>
            <w:tcW w:w="12340" w:type="dxa"/>
            <w:gridSpan w:val="8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 реконструкції об’єкті</w:t>
            </w:r>
            <w:proofErr w:type="gramStart"/>
            <w:r>
              <w:rPr>
                <w:rFonts w:ascii="Arial" w:eastAsia="Arial" w:hAnsi="Arial" w:cs="Arial"/>
                <w:i/>
                <w:sz w:val="14"/>
              </w:rPr>
              <w:t>в</w:t>
            </w:r>
            <w:proofErr w:type="gramEnd"/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 на реконструкцію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Лімітна довідка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212400,00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212400,00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223657,00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223657,00</w:t>
            </w: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об’єкті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>, які планується реконструювати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Бюджетний запит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реконструкцію одного об’єкту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Лімітна довідка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212400,00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212400,00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223657,00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223657,00</w:t>
            </w: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івень виконання кошторису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динаміка кількості об`єктів реконструкції порівняно з попереднім роком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4080" w:type="dxa"/>
            <w:gridSpan w:val="9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b/>
              </w:rPr>
              <w:t>9. Структура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90090" w:rsidRDefault="00690090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trHeight w:hRule="exact" w:val="2500"/>
        </w:trPr>
        <w:tc>
          <w:tcPr>
            <w:tcW w:w="168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690090" w:rsidRDefault="0069009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4120" w:type="dxa"/>
            <w:gridSpan w:val="9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5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36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6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90090" w:rsidRDefault="00690090">
            <w:pPr>
              <w:ind w:left="60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12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4680" w:type="dxa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1) місцеві/регіональні програми, які виконуються в межах бюджетної програми у 2019 - 2021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3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33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7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ЗОШ №1 Проект "Реконструкція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іні стадіону зі штучним покриттям Лубенська ЗОШ І-ІІІ ступенів № 1" (Громадський бюдет м. Лубни)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ішення 3 сесії ЛМРЛР  від 24.12.2020р.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"</w:t>
            </w:r>
            <w:r>
              <w:rPr>
                <w:rFonts w:ascii="Arial" w:eastAsia="Arial" w:hAnsi="Arial" w:cs="Arial"/>
                <w:sz w:val="16"/>
              </w:rPr>
              <w:t>Реконструкція системи теплопостачання ЗОШ №3 в м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.Л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убни" 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34 сесія ЛМР від 19.07.2019р.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452 000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452 000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"Встановлення індивідуальних теплових пунктів в ДНЗ №10 "Сонечко"</w:t>
            </w:r>
            <w:r>
              <w:rPr>
                <w:rFonts w:ascii="Arial" w:eastAsia="Arial" w:hAnsi="Arial" w:cs="Arial"/>
                <w:sz w:val="16"/>
              </w:rPr>
              <w:t>(вул.Г.Тютюнника,13), ЗОШ №2 (проспект Володимирський, 62/1) та ЗОШ №8 ( проспект Володимирський, 104/1) у м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убни Полтавської обл."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45 сесія ЛМР від 13.06.2019р.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1 366 827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1 366 827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452 000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452 000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1 366 827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1 366 827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38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2) місцеві/регіональні програми, які виконуються в межах бюджетної програми у 2022-2023 роках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33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7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7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7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2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62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2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8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920"/>
        </w:trPr>
        <w:tc>
          <w:tcPr>
            <w:tcW w:w="168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  <w:pageBreakBefore/>
            </w:pPr>
          </w:p>
        </w:tc>
        <w:tc>
          <w:tcPr>
            <w:tcW w:w="258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4240" w:type="dxa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12. Об'єкти, які виконуються в межах бюджетної програми за рахунок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розвитку у 2019 - 2021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</w:t>
            </w:r>
            <w:proofErr w:type="gramStart"/>
            <w:r>
              <w:rPr>
                <w:sz w:val="16"/>
              </w:rPr>
              <w:t>о-</w:t>
            </w:r>
            <w:proofErr w:type="gramEnd"/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</w:t>
            </w:r>
            <w:r>
              <w:rPr>
                <w:sz w:val="16"/>
              </w:rPr>
              <w:t>єкта (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1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1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3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 Реконструкція частини протипожежного водопроводу Лубенського дошкільного навчального закладу №17 "Золотий ключик" по вул. Щелканова, 8 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. Лубни Полтавської області"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25 420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25 420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3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"</w:t>
            </w:r>
            <w:r>
              <w:rPr>
                <w:rFonts w:ascii="Arial" w:eastAsia="Arial" w:hAnsi="Arial" w:cs="Arial"/>
                <w:sz w:val="16"/>
              </w:rPr>
              <w:t>Будівництво газопроводу вводу по вул. Олександрівській, 8/2 в м. Лубни Полтавської обл.. Приєднання до газорозподільної системи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."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та введення в експлуатацію газорозподільної системи в ЗОШ  №3"  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2019-2020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109 306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23 004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76 128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3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"</w:t>
            </w:r>
            <w:r>
              <w:rPr>
                <w:rFonts w:ascii="Arial" w:eastAsia="Arial" w:hAnsi="Arial" w:cs="Arial"/>
                <w:sz w:val="16"/>
              </w:rPr>
              <w:t>Реконструкція внутрішніх мереж індиві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дуального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теплового пункту в Лубенській загальноосвітній школі І-ІІІ ступенів №2 проспект Володимирський, 62/1 у м. Лубни Порлтавської області"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453 000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453 000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3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"</w:t>
            </w:r>
            <w:r>
              <w:rPr>
                <w:rFonts w:ascii="Arial" w:eastAsia="Arial" w:hAnsi="Arial" w:cs="Arial"/>
                <w:sz w:val="16"/>
              </w:rPr>
              <w:t>Реконструкція внутрішніх мереж індиві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дуального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теплового пункту в Лубенській загальноосвітній школі І-ІІІ ступенів №8 (проспект Володимирський, 104/1 у м. Лубни Полтавської області)"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620 240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620 240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3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"</w:t>
            </w:r>
            <w:r>
              <w:rPr>
                <w:rFonts w:ascii="Arial" w:eastAsia="Arial" w:hAnsi="Arial" w:cs="Arial"/>
                <w:sz w:val="16"/>
              </w:rPr>
              <w:t xml:space="preserve">Реконструкція внутрішніх мереж індивідуального теплового пункту в Лубенському дошкільному навчальному закладі №10 "Сонечко" за адресою: м. Лубни, вул. Г.Тютюнника, 13"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415 000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293 587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3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"</w:t>
            </w:r>
            <w:r>
              <w:rPr>
                <w:rFonts w:ascii="Arial" w:eastAsia="Arial" w:hAnsi="Arial" w:cs="Arial"/>
                <w:sz w:val="16"/>
              </w:rPr>
              <w:t xml:space="preserve">Реконструкція паркану зі сторони проспекту Володимирського Лубенської загальноосвітньої школи 1-111 ступенів №2 за адресою: проспект Володимирський. 62/1в м. Лубни  Полтавської області" 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239 840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239 840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"</w:t>
            </w:r>
            <w:r>
              <w:rPr>
                <w:rFonts w:ascii="Arial" w:eastAsia="Arial" w:hAnsi="Arial" w:cs="Arial"/>
                <w:sz w:val="16"/>
              </w:rPr>
              <w:t xml:space="preserve">Реконструкція системи теплопостачання  ЗОШ №3 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. Лубни"  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2019-2020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1 493 147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1 346 043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85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112 756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90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  <w:pageBreakBefore/>
            </w:pPr>
          </w:p>
        </w:tc>
        <w:tc>
          <w:tcPr>
            <w:tcW w:w="258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"</w:t>
            </w:r>
            <w:r>
              <w:rPr>
                <w:rFonts w:ascii="Arial" w:eastAsia="Arial" w:hAnsi="Arial" w:cs="Arial"/>
                <w:sz w:val="16"/>
              </w:rPr>
              <w:t xml:space="preserve">Реконструкція частини автоматизованої системи протипожежного захисту  Лубенського дошкільного навчального закладу №17 "Золотий ключик"  за адресою: Полтавська область,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. Лубни, вул. Щелканова, 8"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45 050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45 050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9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«Реконструкція  благоустрою території Лубенської ЗШ І-ІІІ ступенів №2  по проспекту Володимирському, 62/1 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. Лубни Полтавської області» 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2019-2020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1 550 220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240 063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6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«Реконструкція Лубенської загальноосвітньої школи І-ІІІ ступенів № 3 по вул. Олександрівській, 8/2 (колишня вулиця П. Слинька) в м. Лубни Полтавської області з термомодернізацією будівлі. Коригуваггя (стадія проектування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-"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робочий проект")"»  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5 821 </w:t>
            </w:r>
            <w:r>
              <w:rPr>
                <w:sz w:val="16"/>
              </w:rPr>
              <w:t>015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79 616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67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7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«Реконструкція огорожі Лубенської ЗШ І-ІІІ ступенів №1 по вул. Я. Мудрого, 25/1 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. Лубни Полтавської області»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2019-2020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606 445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606 445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«Реконструкція санвузла на третьому поверсі Лубенської загальноосвітньої школи І-ІІІ ступенів №10 виконавчого комітету Лубенської міської ради Полтавської області за адресою вул. Г. Ляскіна, 2 м. Лубни (проектування, робочий проект)»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2019-2020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514 560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10 </w:t>
            </w:r>
            <w:r>
              <w:rPr>
                <w:sz w:val="16"/>
              </w:rPr>
              <w:t>778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Будівництво 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спортивного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майданчика зі штучним покриттям та благоустрій пришкільної території Лубенської спеціалізованої школи І-ІІІ ступенів №6 по вул. Монастирській, 36 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. Лубни Полтавської області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2018-2020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1 562 900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1 429 930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37 685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1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Будівництво внутрішніх мереж газопостачання в рамках реконструкції системи теплопостачання  в ЗОШ №3 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. Лубни, вул. Олександрівська,8/2."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2019-2020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64 655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90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11 644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Будівництво ДНЗ по вул. Ватутіна 39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2015-2022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60 000 000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32 992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24 300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3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Реконструкція  Лубенського дошкільного навчального закладу №9 «Берізка» по вул. Метеорологічній,24/2 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. Лубни Полтавської області з термомодернізацією будівель. Коригування.  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2015-2021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5 708 138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84 201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96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3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4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7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1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Реконструкція  огорожі Лубенського дошкільного навчального закладу № 17 "Золотий ключик" за адресою: вулиця Щелканова, 8 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. Лубни Полтавської області" 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181 991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181 991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7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Реконструкція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іні стадіону зі штучним покриттям Лубенська ЗОШ І-ІІІ ступенів № 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2021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7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7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Реконструкція частини будівлі Лубенського ДНЗ  №12 "Червона шапочка" по вул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.Ч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калова, 13 в м. Лубни Полтавської області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2019-2020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1 464 572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238 280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1 083 952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40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734D3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7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4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2019 році, очікувані результати у 2020 році, обґрунтування необхідності передбачення витрат на 2021 - 2023 роки.</w:t>
            </w: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8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90090" w:rsidRDefault="00734D37">
            <w:pPr>
              <w:spacing w:after="200"/>
            </w:pPr>
            <w:r>
              <w:t>Проводиться систематичний моніторинг кошторисни</w:t>
            </w:r>
            <w:r>
              <w:t>х призначень, що приводить до запобігання кредиторської та дебіторської заборгованості.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4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14. Бюджетні зобов'язання у 2019 і 2021 роках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2380" w:type="dxa"/>
            <w:gridSpan w:val="8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>1) кредиторська заборгованість місцевого бюджету у 2019 році:</w:t>
            </w:r>
          </w:p>
        </w:tc>
        <w:tc>
          <w:tcPr>
            <w:tcW w:w="7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126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Кредиторська заборгованість на початок минулого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періоду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Кредиторська заборгованість на кінець минулого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періоду</w:t>
            </w:r>
          </w:p>
        </w:tc>
        <w:tc>
          <w:tcPr>
            <w:tcW w:w="1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24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Погашено кредиторс</w:t>
            </w:r>
            <w:r>
              <w:rPr>
                <w:sz w:val="16"/>
              </w:rPr>
              <w:t>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6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5240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6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90090" w:rsidRDefault="00690090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6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4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9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2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4780" w:type="dxa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 xml:space="preserve">2) кредиторська заборгованість місцевого бюджету у   2020-2021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 xml:space="preserve">: </w:t>
            </w:r>
          </w:p>
        </w:tc>
        <w:tc>
          <w:tcPr>
            <w:tcW w:w="126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6000" w:type="dxa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t xml:space="preserve">2020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6060" w:type="dxa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 xml:space="preserve">кредиторська заборгованість на початок </w:t>
            </w:r>
            <w:proofErr w:type="gramStart"/>
            <w:r>
              <w:rPr>
                <w:sz w:val="16"/>
              </w:rPr>
              <w:t>поточного</w:t>
            </w:r>
            <w:proofErr w:type="gramEnd"/>
            <w:r>
              <w:rPr>
                <w:sz w:val="16"/>
              </w:rPr>
              <w:t xml:space="preserve"> бюджетного періоду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1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4"/>
              </w:rPr>
              <w:t xml:space="preserve">можлива кредиторська заборгованість на початок </w:t>
            </w:r>
            <w:proofErr w:type="gramStart"/>
            <w:r>
              <w:rPr>
                <w:sz w:val="14"/>
              </w:rPr>
              <w:t>плановог</w:t>
            </w:r>
            <w:r>
              <w:rPr>
                <w:sz w:val="14"/>
              </w:rPr>
              <w:t>о</w:t>
            </w:r>
            <w:proofErr w:type="gramEnd"/>
            <w:r>
              <w:rPr>
                <w:sz w:val="14"/>
              </w:rPr>
              <w:t xml:space="preserve"> бюджетного періоду (4 - 5 - 6)</w:t>
            </w:r>
          </w:p>
        </w:tc>
        <w:tc>
          <w:tcPr>
            <w:tcW w:w="24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6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6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2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2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4040" w:type="dxa"/>
            <w:gridSpan w:val="92"/>
            <w:tcMar>
              <w:top w:w="80" w:type="dxa"/>
              <w:left w:w="0" w:type="dxa"/>
              <w:bottom w:w="0" w:type="dxa"/>
              <w:right w:w="0" w:type="dxa"/>
            </w:tcMar>
          </w:tcPr>
          <w:p w:rsidR="00690090" w:rsidRDefault="00734D37">
            <w:r>
              <w:rPr>
                <w:b/>
              </w:rPr>
              <w:t xml:space="preserve">3) дебіторська заборгованість у 2019-2020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200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90090" w:rsidRDefault="00734D3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>Дебіторська заборгованість на 01.01.2020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01.01.2021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90090" w:rsidRDefault="00690090">
            <w:pPr>
              <w:ind w:left="60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left="60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ind w:right="60"/>
              <w:jc w:val="right"/>
            </w:pP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690090">
            <w:pPr>
              <w:jc w:val="center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2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2021 році</w:t>
            </w: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90090" w:rsidRDefault="00690090">
            <w:pPr>
              <w:spacing w:after="200"/>
              <w:ind w:left="400"/>
              <w:jc w:val="both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0090" w:rsidRDefault="00734D37">
            <w:r>
              <w:rPr>
                <w:b/>
              </w:rPr>
              <w:t xml:space="preserve">15.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та обґрунтування видатків спеціального фонду на 2021 рік та на 2022 - 2023 роки за рахунок надходжень до спеціального фонду, аналіз результатів, досягнутих внаслідок використання коштів спеціального фонду бюджету у 2020 році, та очікувані резу</w:t>
            </w:r>
            <w:r>
              <w:rPr>
                <w:b/>
              </w:rPr>
              <w:t>льтати у 2021 році.</w:t>
            </w: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56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90090" w:rsidRDefault="00734D37">
            <w:pPr>
              <w:spacing w:after="200"/>
              <w:jc w:val="both"/>
            </w:pPr>
            <w:r>
              <w:t>Для створення належних умов функціонування , збереження та розширення мережі  закладів   освіти у 2019 році було використано   3967535 грн. із спеціального фонду бюджету  розвитку . За рахунок коштів  спеціального фонду було  продовжено  підготовку та виго</w:t>
            </w:r>
            <w:r>
              <w:t>товлення проектної, технічної документації, для виконання робіт з будівництва ДНЗ по вул</w:t>
            </w:r>
            <w:proofErr w:type="gramStart"/>
            <w:r>
              <w:t>.В</w:t>
            </w:r>
            <w:proofErr w:type="gramEnd"/>
            <w:r>
              <w:t>атутіна, 39, роботи по будівництву ДНЗ по вул</w:t>
            </w:r>
            <w:proofErr w:type="gramStart"/>
            <w:r>
              <w:t>.В</w:t>
            </w:r>
            <w:proofErr w:type="gramEnd"/>
            <w:r>
              <w:t>атутіна 39,  а також проведені роботи по об'єктам дошкільних та загальноосвітніх закладів освіти.</w:t>
            </w:r>
            <w:r>
              <w:br/>
            </w:r>
            <w:r>
              <w:br/>
              <w:t xml:space="preserve"> В 2020 році викорис</w:t>
            </w:r>
            <w:r>
              <w:t xml:space="preserve">тано  3369410 грн. із спеціального фонду бюджету розвитку, за рахунок чого були  проведені роботи </w:t>
            </w:r>
            <w:proofErr w:type="gramStart"/>
            <w:r>
              <w:t>по</w:t>
            </w:r>
            <w:proofErr w:type="gramEnd"/>
            <w:r>
              <w:t xml:space="preserve"> об'єктам дошкільних </w:t>
            </w:r>
            <w:proofErr w:type="gramStart"/>
            <w:r>
              <w:t>та</w:t>
            </w:r>
            <w:proofErr w:type="gramEnd"/>
            <w:r>
              <w:t xml:space="preserve"> загальноосвітніх закладів освіти.</w:t>
            </w:r>
            <w:r>
              <w:br/>
              <w:t xml:space="preserve">  </w:t>
            </w:r>
            <w:r>
              <w:br/>
              <w:t xml:space="preserve"> На 2021 </w:t>
            </w:r>
            <w:proofErr w:type="gramStart"/>
            <w:r>
              <w:t>р</w:t>
            </w:r>
            <w:proofErr w:type="gramEnd"/>
            <w:r>
              <w:t xml:space="preserve"> заплановано використати із коштів спеціального фонду місцевого бюджету  на суму 2000</w:t>
            </w:r>
            <w:r>
              <w:t xml:space="preserve">00  грн.,  для  реконструкії міні стадіону із штучним покриттям Лубенської ЗОШ І-ІІІ ст. № 1. </w:t>
            </w:r>
            <w:r>
              <w:br/>
              <w:t xml:space="preserve">  На 2022 р. прогнозний показник використання коштів із спеціального фонду розвитку  212400 грн</w:t>
            </w:r>
            <w:proofErr w:type="gramStart"/>
            <w:r>
              <w:t>.р</w:t>
            </w:r>
            <w:proofErr w:type="gramEnd"/>
            <w:r>
              <w:t xml:space="preserve">озрахований на підставі постанови КМУ від 29.07.2020 р.№ 671 де </w:t>
            </w:r>
            <w:r>
              <w:t xml:space="preserve">до розрахунку КЕКВ  застосовано індекс споживчих цін 106,2%.  </w:t>
            </w:r>
            <w:r>
              <w:br/>
              <w:t xml:space="preserve">     На 2023 р. прогнозний показник використання коштів із спеціального фонду розвитку 223657 грн., розрахований на підставі постанови КМУ від 29.07.2020 р.№ 671 де до розрахунку </w:t>
            </w: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00"/>
        </w:trPr>
        <w:tc>
          <w:tcPr>
            <w:tcW w:w="40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260" w:type="dxa"/>
          </w:tcPr>
          <w:p w:rsidR="00690090" w:rsidRDefault="00690090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690090" w:rsidRDefault="00690090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690090" w:rsidRDefault="00690090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690090" w:rsidRDefault="006900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690090" w:rsidRDefault="00690090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690090" w:rsidRDefault="006900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440" w:type="dxa"/>
            <w:gridSpan w:val="2"/>
          </w:tcPr>
          <w:p w:rsidR="00690090" w:rsidRDefault="00690090">
            <w:pPr>
              <w:pStyle w:val="EMPTYCELLSTYLE"/>
              <w:pageBreakBefore/>
            </w:pPr>
          </w:p>
        </w:tc>
        <w:tc>
          <w:tcPr>
            <w:tcW w:w="16040" w:type="dxa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690090" w:rsidRDefault="00734D37">
            <w:pPr>
              <w:spacing w:after="200"/>
              <w:jc w:val="both"/>
            </w:pPr>
            <w:r>
              <w:t>КЕКВ  застосовано індекс споживчих цін 105,3%.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</w:t>
            </w:r>
            <w:r>
              <w:br/>
              <w:t xml:space="preserve">  </w:t>
            </w:r>
            <w:r>
              <w:br/>
            </w:r>
          </w:p>
        </w:tc>
        <w:tc>
          <w:tcPr>
            <w:tcW w:w="360" w:type="dxa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0" w:type="auto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ind w:right="60"/>
            </w:pPr>
            <w:r>
              <w:rPr>
                <w:b/>
                <w:sz w:val="16"/>
              </w:rPr>
              <w:t>Начальник</w:t>
            </w:r>
          </w:p>
        </w:tc>
        <w:tc>
          <w:tcPr>
            <w:tcW w:w="0" w:type="auto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r>
              <w:t>Мирослав КОСТЕНКО</w:t>
            </w:r>
          </w:p>
        </w:tc>
        <w:tc>
          <w:tcPr>
            <w:tcW w:w="0" w:type="auto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0" w:type="auto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0" w:type="auto"/>
            <w:gridSpan w:val="3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0" w:type="auto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0" w:type="auto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11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r>
              <w:t>Олена РОМАНЕНКО</w:t>
            </w:r>
          </w:p>
        </w:tc>
        <w:tc>
          <w:tcPr>
            <w:tcW w:w="0" w:type="auto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90090" w:rsidRDefault="00690090">
            <w:pPr>
              <w:pStyle w:val="EMPTYCELLSTYLE"/>
            </w:pPr>
          </w:p>
        </w:tc>
      </w:tr>
      <w:tr w:rsidR="0069009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0" w:type="auto"/>
            <w:gridSpan w:val="2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0" w:type="auto"/>
            <w:gridSpan w:val="3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0090" w:rsidRDefault="00734D37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0" w:type="auto"/>
            <w:gridSpan w:val="12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690090" w:rsidRDefault="0069009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690090" w:rsidRDefault="00690090">
            <w:pPr>
              <w:pStyle w:val="EMPTYCELLSTYLE"/>
            </w:pPr>
          </w:p>
        </w:tc>
      </w:tr>
    </w:tbl>
    <w:p w:rsidR="00734D37" w:rsidRDefault="00734D37"/>
    <w:sectPr w:rsidR="00734D37" w:rsidSect="0069009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800"/>
  <w:characterSpacingControl w:val="doNotCompress"/>
  <w:compat/>
  <w:rsids>
    <w:rsidRoot w:val="00690090"/>
    <w:rsid w:val="00690090"/>
    <w:rsid w:val="00734D37"/>
    <w:rsid w:val="00752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90090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3759</Words>
  <Characters>21429</Characters>
  <Application>Microsoft Office Word</Application>
  <DocSecurity>0</DocSecurity>
  <Lines>178</Lines>
  <Paragraphs>50</Paragraphs>
  <ScaleCrop>false</ScaleCrop>
  <Company/>
  <LinksUpToDate>false</LinksUpToDate>
  <CharactersWithSpaces>25138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2021-01-21T12:14:00Z</dcterms:created>
  <dcterms:modified xsi:type="dcterms:W3CDTF">2021-01-21T12:14:00Z</dcterms:modified>
</cp:coreProperties>
</file>