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40"/>
        <w:gridCol w:w="40"/>
        <w:gridCol w:w="20"/>
        <w:gridCol w:w="20"/>
        <w:gridCol w:w="20"/>
        <w:gridCol w:w="60"/>
        <w:gridCol w:w="80"/>
        <w:gridCol w:w="160"/>
        <w:gridCol w:w="280"/>
        <w:gridCol w:w="80"/>
        <w:gridCol w:w="20"/>
        <w:gridCol w:w="280"/>
        <w:gridCol w:w="20"/>
        <w:gridCol w:w="80"/>
        <w:gridCol w:w="80"/>
        <w:gridCol w:w="60"/>
        <w:gridCol w:w="200"/>
        <w:gridCol w:w="80"/>
        <w:gridCol w:w="300"/>
        <w:gridCol w:w="180"/>
        <w:gridCol w:w="20"/>
        <w:gridCol w:w="80"/>
        <w:gridCol w:w="80"/>
        <w:gridCol w:w="20"/>
        <w:gridCol w:w="220"/>
        <w:gridCol w:w="20"/>
        <w:gridCol w:w="100"/>
        <w:gridCol w:w="380"/>
        <w:gridCol w:w="80"/>
        <w:gridCol w:w="2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4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12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307E4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3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5960" w:type="dxa"/>
            <w:gridSpan w:val="11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24"/>
              </w:rPr>
              <w:t>БЮДЖЕТНИЙ ЗАПИТ НА 2021 – 2023 РОКИ індивідуальний ( Форма 2021-2)</w:t>
            </w: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3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07E4D" w:rsidRDefault="008B1914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07E4D" w:rsidRDefault="008B1914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3480" w:type="dxa"/>
            <w:gridSpan w:val="3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3480" w:type="dxa"/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r>
              <w:rPr>
                <w:sz w:val="18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3480" w:type="dxa"/>
            <w:gridSpan w:val="33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307E4D" w:rsidRDefault="008B1914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307E4D" w:rsidRDefault="008B1914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3480" w:type="dxa"/>
            <w:gridSpan w:val="33"/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t>0618220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t>8220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t>0380</w:t>
            </w:r>
          </w:p>
        </w:tc>
        <w:tc>
          <w:tcPr>
            <w:tcW w:w="6520" w:type="dxa"/>
            <w:gridSpan w:val="5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both"/>
            </w:pPr>
            <w:r>
              <w:t>Заходи та роботи з мобілізаційної підготовки місцевого значення</w:t>
            </w: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596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spacing w:after="200"/>
              <w:ind w:left="500"/>
            </w:pPr>
            <w:r>
              <w:t>Забезпечення комплексного вирішення завдань, повязаних з мінімізацією ризиків, які стосуються загроз  військового характеру  в особливий період воєнного часу.</w:t>
            </w: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07E4D" w:rsidRDefault="008B1914">
            <w:pPr>
              <w:ind w:left="500"/>
            </w:pPr>
            <w:r>
              <w:t>Проведення заходів та робіт з мобілізаційної підготовки місцевого значення  в загальноосвітніх закладах освіти</w:t>
            </w: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ind w:left="500"/>
            </w:pPr>
            <w:r>
              <w:t>Конституція України, Бюджетний кодекс України від 08.07.2010 р. №2456-VІ зі змінами, Кодекс цивільного захисту України від 02.10.2012 №5403-VI зі змінами, Закон України "Про освіту"  від 05.09.2017 р. №2145-VIII зі змінами,  Закон України "Про оборону Укра</w:t>
            </w:r>
            <w:r>
              <w:t>їни"  від 06.12.1991 р. № 1932-XII зі змінами, Закон України "Про мобілізаційну підготовку та мобілізацію" від  21.10.1993р. №3543-XII зі змінами, Постанови кабінету міністрів України, Укази та розпорядження Президента України.</w:t>
            </w: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3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596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1) надходження для виконання бюджетної програми у 2019 - 2021 роках:</w:t>
            </w: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3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2019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2020 рік (затверджено)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2021 рік (проект)</w:t>
            </w: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59 506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59 506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31 251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31 251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3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2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2) надходження для виконання бюджетної програми у 2022-2023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2022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2023 рік (прогноз)</w:t>
            </w: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31 860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31 860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33 549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33 549</w:t>
            </w: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2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2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 xml:space="preserve">1) видатки за кодами Економічної класифікації видатків бюджету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11 707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11 707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18 151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18 151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23 299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23 299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24 500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24 500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13 100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13 100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 xml:space="preserve">2) надання кредитів за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307E4D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3) видатки за кодами Економічної класифікації видатків бюджету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2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2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10 620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10 620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21 240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21 240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22 366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22 366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4) надання кредитів за кодами Класифікації кредитування бюджету у 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59 506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31 251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33 549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2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1684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59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1) результативні показники бюджетної програми у 2019 - 2021 роках: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2019 рік(звіт)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2020 рік(затверджено)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2021 рік(проект)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Обсяги видатків на заходи з мобілізаційної підготовки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59506,00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59506,00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31251,00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31251,00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30000,00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учнів, що проходять мобілізаційну підготовку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 класів учнівського контингенту на 2019-2020, 2020-2021 навчальний рік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280,00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276,00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276,00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538,00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538,00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придбаних навчальних комплектів муляжів зброї та засобів захисту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Річний звіт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217,00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217,00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56,00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Процент забезпечення навчальними комплектами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Річний звіт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90,00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90,00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90,00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90,00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12940" w:type="dxa"/>
            <w:gridSpan w:val="8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2) результативні показники бюджетної програми у   2022-2023 роках: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Обсяги видатків на заходи з мобілізаційної підготовки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31860,00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31860,00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33549,00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33549,00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учнів, що проходять мобілізаційну підготовку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 класів учнівського контингенту на 2019-2020, 2020-2021 навчальний рік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538,00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538,00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538,00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538,00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придбаних навчальних комплектів муляжів зброї та засобів захисту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Річний звіт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63,00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63,00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Процент забезпечення навчальними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Річний звіт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07E4D" w:rsidRDefault="00307E4D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комплектами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 xml:space="preserve">2023 рік 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5"/>
            <w:tcMar>
              <w:top w:w="12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Міська програма з питань оборонної, мобілізаційної підготовки та цивільного захисту населення м. Лубни на 2015-2020 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 46-ї сесії Лубенської міської ради від 07.11.2014р.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59 506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59 506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31 251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31 251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роки</w:t>
            </w: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Програма  оборонної та  мобілізаційної роботи на 2021-2025 рр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3 сесії восьмого скликання від 24.12.2020 Лубенської міської ради Лубенського району Полтавської області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Програма  оборонної та  мобілізаційної роботи на 2021-2025 рр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Рішення 3 сесії восьмого скликання від 24.12.2020 Лубенської міської ради Лубенського району Полтавської області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31 860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31 860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33 549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33 549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31 860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33 549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spacing w:after="200"/>
            </w:pPr>
            <w:r>
              <w:t xml:space="preserve">     Для створення належних умов  для проведенн</w:t>
            </w:r>
            <w:r>
              <w:t>я заходів та робіт з мобілізаційної підготовки місцевого значення  в загальноосвітніх закладах освіти у 2019 році було використано   59506 грн. із загального фонду бюджету  внаслідок чого було створено матеріально технічні умови для належної підготовки  уч</w:t>
            </w:r>
            <w:r>
              <w:t>нів  з питань оборонної, мобілізаційної підготовки молоді.</w:t>
            </w:r>
            <w:r>
              <w:br/>
              <w:t xml:space="preserve">    У 2020 р.  затвердежно із коштів загального фонду місцевого бюджету  на суму 31251  грн. продовжено впровадження  нових методів підготовки  учнів  з питань оборонної, мобілізаційної підготовки </w:t>
            </w:r>
            <w:r>
              <w:t>молоді.</w:t>
            </w:r>
            <w:r>
              <w:br/>
              <w:t xml:space="preserve">    На 2021 рік заплановано використати коштів із загального фонду 30000 грн.,  для  подальшого впровадження  нових методів підготовки  учнів  з питань оборонної, мобілізаційної підготовки молоді.</w:t>
            </w:r>
            <w:r>
              <w:br/>
              <w:t xml:space="preserve">     На 2022 р. прогнозний показник використання ко</w:t>
            </w:r>
            <w:r>
              <w:t xml:space="preserve">штів із загального фонду 31860 грн.розрахований на підставі постанови КМУ від 29.07.2020 р.№ 671  де до розрахунку КЕКВ  застосовано індекс споживчих цін 106,2%.  </w:t>
            </w:r>
            <w:r>
              <w:br/>
              <w:t xml:space="preserve">     На 2023 р. прогнозний показник використання коштів із загального фонду 33549 грн., розр</w:t>
            </w:r>
            <w:r>
              <w:t>ахований на підставі постанови КМУ від  29.07.2020 р.№ 671  де до розрахунку КЕКВ  застосовано індекс споживчих цін 105,3%.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40"/>
        </w:trPr>
        <w:tc>
          <w:tcPr>
            <w:tcW w:w="0" w:type="auto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 xml:space="preserve">14. Бюджетні зобов'язання у 2019 і 2021 роках : 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13 094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11 707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11 707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23 299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23 299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23 299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24 500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24 500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24 500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60 893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 xml:space="preserve">2) кредиторська заборгованість місцевого бюджету у   2020-2021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t>2021 рік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18 151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18 151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13 100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13 100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31 251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</w:rPr>
              <w:t>3) дебіторська заборгованість у 2019-2020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7E4D" w:rsidRDefault="008B1914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Вжиті заходи щодо ліквід</w:t>
            </w:r>
            <w:r>
              <w:rPr>
                <w:sz w:val="16"/>
              </w:rPr>
              <w:t>ації заборгованості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13 094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11 707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23 299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23 299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24 500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24 500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307E4D">
            <w:pPr>
              <w:ind w:left="60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60 893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59 506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307E4D">
            <w:pPr>
              <w:jc w:val="center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8B1914">
            <w:pPr>
              <w:spacing w:after="200"/>
              <w:ind w:left="400"/>
              <w:jc w:val="both"/>
            </w:pPr>
            <w:r>
              <w:t>Проводиться системний моніторинг кошторисних призначень, що приводить до запобігання кредиторської та дебіторської заборгованості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7E4D" w:rsidRDefault="008B1914">
            <w:r>
              <w:rPr>
                <w:b/>
              </w:rPr>
              <w:t>15. Підстави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307E4D" w:rsidRDefault="00307E4D">
            <w:pPr>
              <w:spacing w:after="200"/>
              <w:jc w:val="both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t>Мирослав КОСТЕНКО</w:t>
            </w: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8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r>
              <w:t>Олена РОМАНЕНКО</w:t>
            </w: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  <w:tr w:rsidR="00307E4D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7E4D" w:rsidRDefault="008B1914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307E4D" w:rsidRDefault="00307E4D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307E4D" w:rsidRDefault="00307E4D">
            <w:pPr>
              <w:pStyle w:val="EMPTYCELLSTYLE"/>
            </w:pPr>
          </w:p>
        </w:tc>
      </w:tr>
    </w:tbl>
    <w:p w:rsidR="008B1914" w:rsidRDefault="008B1914"/>
    <w:sectPr w:rsidR="008B1914" w:rsidSect="00307E4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307E4D"/>
    <w:rsid w:val="002D576C"/>
    <w:rsid w:val="00307E4D"/>
    <w:rsid w:val="008B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307E4D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2881</Words>
  <Characters>16425</Characters>
  <Application>Microsoft Office Word</Application>
  <DocSecurity>0</DocSecurity>
  <Lines>136</Lines>
  <Paragraphs>38</Paragraphs>
  <ScaleCrop>false</ScaleCrop>
  <Company/>
  <LinksUpToDate>false</LinksUpToDate>
  <CharactersWithSpaces>19268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2021-01-21T12:14:00Z</dcterms:created>
  <dcterms:modified xsi:type="dcterms:W3CDTF">2021-01-21T12:14:00Z</dcterms:modified>
</cp:coreProperties>
</file>