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40"/>
        <w:gridCol w:w="100"/>
        <w:gridCol w:w="420"/>
        <w:gridCol w:w="40"/>
        <w:gridCol w:w="260"/>
        <w:gridCol w:w="20"/>
        <w:gridCol w:w="80"/>
        <w:gridCol w:w="80"/>
        <w:gridCol w:w="60"/>
        <w:gridCol w:w="40"/>
        <w:gridCol w:w="360"/>
        <w:gridCol w:w="160"/>
        <w:gridCol w:w="120"/>
        <w:gridCol w:w="20"/>
        <w:gridCol w:w="160"/>
        <w:gridCol w:w="80"/>
        <w:gridCol w:w="100"/>
        <w:gridCol w:w="60"/>
        <w:gridCol w:w="60"/>
        <w:gridCol w:w="420"/>
        <w:gridCol w:w="80"/>
        <w:gridCol w:w="140"/>
        <w:gridCol w:w="40"/>
        <w:gridCol w:w="40"/>
        <w:gridCol w:w="20"/>
        <w:gridCol w:w="60"/>
        <w:gridCol w:w="80"/>
        <w:gridCol w:w="160"/>
        <w:gridCol w:w="280"/>
        <w:gridCol w:w="80"/>
        <w:gridCol w:w="20"/>
        <w:gridCol w:w="300"/>
        <w:gridCol w:w="80"/>
        <w:gridCol w:w="80"/>
        <w:gridCol w:w="60"/>
        <w:gridCol w:w="200"/>
        <w:gridCol w:w="80"/>
        <w:gridCol w:w="300"/>
        <w:gridCol w:w="200"/>
        <w:gridCol w:w="80"/>
        <w:gridCol w:w="80"/>
        <w:gridCol w:w="20"/>
        <w:gridCol w:w="220"/>
        <w:gridCol w:w="20"/>
        <w:gridCol w:w="100"/>
        <w:gridCol w:w="380"/>
        <w:gridCol w:w="100"/>
        <w:gridCol w:w="80"/>
        <w:gridCol w:w="80"/>
        <w:gridCol w:w="20"/>
        <w:gridCol w:w="120"/>
        <w:gridCol w:w="140"/>
        <w:gridCol w:w="180"/>
        <w:gridCol w:w="60"/>
        <w:gridCol w:w="320"/>
        <w:gridCol w:w="80"/>
        <w:gridCol w:w="80"/>
        <w:gridCol w:w="40"/>
        <w:gridCol w:w="80"/>
        <w:gridCol w:w="440"/>
        <w:gridCol w:w="100"/>
        <w:gridCol w:w="80"/>
        <w:gridCol w:w="100"/>
        <w:gridCol w:w="80"/>
        <w:gridCol w:w="20"/>
        <w:gridCol w:w="20"/>
        <w:gridCol w:w="40"/>
        <w:gridCol w:w="120"/>
        <w:gridCol w:w="540"/>
        <w:gridCol w:w="180"/>
        <w:gridCol w:w="20"/>
        <w:gridCol w:w="20"/>
        <w:gridCol w:w="20"/>
        <w:gridCol w:w="20"/>
        <w:gridCol w:w="20"/>
        <w:gridCol w:w="20"/>
        <w:gridCol w:w="20"/>
        <w:gridCol w:w="40"/>
        <w:gridCol w:w="40"/>
        <w:gridCol w:w="260"/>
        <w:gridCol w:w="100"/>
      </w:tblGrid>
      <w:tr w:rsidR="00477F4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3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5960" w:type="dxa"/>
            <w:gridSpan w:val="111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24"/>
              </w:rPr>
              <w:t>БЮДЖЕТНИЙ ЗАПИТ НА 2021 – 2023 РОКИ індивідуальний ( Форма 2021-2)</w:t>
            </w: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3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77F40" w:rsidRDefault="001C3A80">
            <w:pPr>
              <w:jc w:val="both"/>
            </w:pPr>
            <w:r>
              <w:t xml:space="preserve">1.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77F40" w:rsidRDefault="001C3A80">
            <w:r>
              <w:rPr>
                <w:b/>
                <w:sz w:val="18"/>
              </w:rPr>
              <w:t>Управління освіти виконавчого комітету Лубенської міської ради Лубенського району Полтавської області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3480" w:type="dxa"/>
            <w:gridSpan w:val="2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3480" w:type="dxa"/>
            <w:gridSpan w:val="2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both"/>
            </w:pPr>
            <w:r>
              <w:t xml:space="preserve">2.  </w:t>
            </w:r>
          </w:p>
        </w:tc>
        <w:tc>
          <w:tcPr>
            <w:tcW w:w="9280" w:type="dxa"/>
            <w:gridSpan w:val="56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r>
              <w:rPr>
                <w:sz w:val="18"/>
              </w:rPr>
              <w:t>Управління освіти виконавчого комітету Лубенської міської ради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3480" w:type="dxa"/>
            <w:gridSpan w:val="2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477F40" w:rsidRDefault="001C3A80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bottom"/>
          </w:tcPr>
          <w:p w:rsidR="00477F40" w:rsidRDefault="001C3A80">
            <w:pPr>
              <w:jc w:val="center"/>
            </w:pPr>
            <w:r>
              <w:t>02145582</w:t>
            </w: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40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3480" w:type="dxa"/>
            <w:gridSpan w:val="29"/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t>0611141</w:t>
            </w:r>
          </w:p>
        </w:tc>
        <w:tc>
          <w:tcPr>
            <w:tcW w:w="2340" w:type="dxa"/>
            <w:gridSpan w:val="1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t>1141</w:t>
            </w:r>
          </w:p>
        </w:tc>
        <w:tc>
          <w:tcPr>
            <w:tcW w:w="1760" w:type="dxa"/>
            <w:gridSpan w:val="1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t>0990</w:t>
            </w:r>
          </w:p>
        </w:tc>
        <w:tc>
          <w:tcPr>
            <w:tcW w:w="6520" w:type="dxa"/>
            <w:gridSpan w:val="55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both"/>
            </w:pPr>
            <w:r>
              <w:t>Забезпечення діяльності інших закладів у сфері освіти</w:t>
            </w: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360" w:type="dxa"/>
            <w:gridSpan w:val="19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t>16565000000</w:t>
            </w: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5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36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rPr>
                <w:b/>
              </w:rPr>
              <w:t>4. Мета та завдання бюджетної програми на 2021 - 2023 роки:</w:t>
            </w: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77F40" w:rsidRDefault="001C3A80">
            <w:pPr>
              <w:spacing w:after="200"/>
              <w:ind w:left="500"/>
            </w:pPr>
            <w:r>
              <w:t>Забезпечення виконання функцій головного розпорядника бюджетних коштів галузі освіти м. Лубни, відповідно до законодавства та Бюджетного Кодексу України. Забезпечення організації та ведення бухгалтерського обліку управління освіти виконавчого комітету Лубе</w:t>
            </w:r>
            <w:r>
              <w:t>нської міської ради. Забезпечення ведення централізованого господарського обслуговування. Забезпечення діяльності логопедпункту.</w:t>
            </w: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77F40" w:rsidRDefault="001C3A80">
            <w:pPr>
              <w:ind w:left="500"/>
            </w:pPr>
            <w:r>
              <w:t xml:space="preserve">Забезпечити реалізацію інших програм та заходів у сфері освіти </w:t>
            </w: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77F40" w:rsidRDefault="001C3A80">
            <w:pPr>
              <w:ind w:left="500"/>
            </w:pPr>
            <w:r>
              <w:t>Конституція України, Бюджетний кодекс України від 08.07.2010 р. №2456-1Y зі змінами, Закон України від 16.07.1999 р. №996-XIY «Про бухгалтерський облік та фінансову звітність в Україні» зі змінами, План рахункі</w:t>
            </w:r>
            <w:r>
              <w:t>в бухгалтерського обліку бюджетних установ, затверджений наказом Мінфіну від 26.06.2013 р. №611 зі змінами, Типового положення про бухгалтерську службу бюджетної установи, затвердженого постановою КМУ від 26.01.2011 р. №59 зі змінами, Положення про управлі</w:t>
            </w:r>
            <w:r>
              <w:t>ння освіти виконавчого комітету Лубенської міської ради, Закон України "Про освіту"  від 05.09.2017р. №2145-VIII зі змінами, Постанови кабінету міністрів України, Укази та розпорядження Президента України.</w:t>
            </w: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3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596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170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1) надходження для виконання бюджетної програми у 2019 - 2021 роках:</w:t>
            </w:r>
          </w:p>
        </w:tc>
        <w:tc>
          <w:tcPr>
            <w:tcW w:w="11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3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t>2019 рік (звіт)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t>2020 рік (затверджено)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t>2021 рік (проект)</w:t>
            </w: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2 472 912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2 472 912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3 445 966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3 445 966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4 862 180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4 862 180</w:t>
            </w: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оренду майна бюджетних установ, що 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20 500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20 500</w:t>
            </w: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6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74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54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3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60" w:type="dxa"/>
            <w:gridSpan w:val="2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здійснюється відповідного до Закону України «Про оренду державного та комунального майна»</w:t>
            </w:r>
          </w:p>
        </w:tc>
        <w:tc>
          <w:tcPr>
            <w:tcW w:w="6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36 610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36 610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36 610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3 445 966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36 610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36 610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3 482 576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4 862 180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20 500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4 882 680</w:t>
            </w: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600" w:type="dxa"/>
            <w:gridSpan w:val="6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2) надходження для виконання бюджетної програми у 2022-2023 роках:</w:t>
            </w:r>
          </w:p>
        </w:tc>
        <w:tc>
          <w:tcPr>
            <w:tcW w:w="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t>2022 рік (прогноз)</w:t>
            </w:r>
          </w:p>
        </w:tc>
        <w:tc>
          <w:tcPr>
            <w:tcW w:w="42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t>2023 рік (прогноз)</w:t>
            </w: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5 163 635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5 163 635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5 437 308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5 437 308</w:t>
            </w: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5 163 635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5 163 635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5 437 308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5 437 308</w:t>
            </w: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 xml:space="preserve">1) видатки за кодами Економічної класифікації видатків бюджету у 2019 - 2021 роках: 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1 917 892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1 917 892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2 497 554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2 497 554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3 795 390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3 795 390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424 115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424 115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559 950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559 950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655 180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655 180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69 576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69 576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204 686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204 686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180 000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200 000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17 200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17 200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43 720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43 720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45 000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5 309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5 309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2 100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2 100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116 866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116 866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121 610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121 610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2 200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4 990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4 990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8 000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8 000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6 000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15 362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15 362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47 000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1 000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Окремі заходи по реалізації державних (регіональних) програм, не 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620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620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426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3 000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5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6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104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віднесені до заходів розвитку</w:t>
            </w: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1 500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36 610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36 610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36 610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3 445 966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36 610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36 610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3 482 576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4 862 180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20 500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4 882 680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 xml:space="preserve">2) надання кредитів за кодами Класифікації кредитування бюджету у 2019 - 2021 роках: </w:t>
            </w: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477F4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3) видатки за кодами Економічної класифікації видатків бюджету у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4 030 704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4 030 704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4 244 332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4 244 332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695 801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695 801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732 679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732 679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191 160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191 160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201 291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201 291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47 790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47 790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50 323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50 323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5 310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5 310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5 591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5 591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129 150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129 150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135 996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135 996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8 496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8 496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8 946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8 946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49 914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49 914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52 559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52 559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1 062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1 062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1 118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1 118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3 186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3 186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3 355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3 355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1 062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1 062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1 118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1 118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5 163 635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5 163 635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5 437 308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5 437 308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80" w:type="dxa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4) надання кредитів за кодами Класифікації кредитування бюджету у 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right="60"/>
              <w:jc w:val="right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50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1) витрати за напрямами використання бюджетних коштів у 2019 - 2021 роках:</w:t>
            </w:r>
          </w:p>
        </w:tc>
        <w:tc>
          <w:tcPr>
            <w:tcW w:w="10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2019 рік(звіт)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2020 рік(затверджено)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b/>
                <w:sz w:val="16"/>
              </w:rPr>
              <w:t>2021 рік(проект)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діяльності  інших закладів у сфері освіти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2 472 912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3 445 966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36 610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36 610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3 482 576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4 862 180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4 882 680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3 445 966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36 610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36 610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3 482 576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4 862 180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20 500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4 882 680</w:t>
            </w: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1020" w:type="dxa"/>
            <w:gridSpan w:val="7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2) витрати за напрямами використання бюджетних коштів у  2022 - 2023 роках:</w:t>
            </w:r>
          </w:p>
        </w:tc>
        <w:tc>
          <w:tcPr>
            <w:tcW w:w="1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4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Забезпечення діяльності  інших закладів у сфері освіти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5 163 635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5 163 635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5 437 308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5 437 308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5 163 635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5 163 635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5 437 308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5 437 308</w:t>
            </w: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60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5940" w:type="dxa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1) результативні показники бюджетної програми у 2019 - 2021 роках:</w:t>
            </w: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2019 рік(звіт)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2020 рік(затверджено)</w:t>
            </w:r>
          </w:p>
        </w:tc>
        <w:tc>
          <w:tcPr>
            <w:tcW w:w="30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2021 рік(проект)</w:t>
            </w: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2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477F40" w:rsidRDefault="00477F4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5</w:t>
            </w:r>
          </w:p>
        </w:tc>
        <w:tc>
          <w:tcPr>
            <w:tcW w:w="15340" w:type="dxa"/>
            <w:gridSpan w:val="10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діяльності  інших закладів у сфері освіти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установ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15,00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адмінперсоналу, за умовами оплати    віднесених до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всього -  середньорічне число ставок (штатних одиниць)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закладів,  які обслуговує установа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особових рахунків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37,00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53,00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установ, які обслуговує 1 працівник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12940" w:type="dxa"/>
            <w:gridSpan w:val="8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2) результативні показники бюджетної програми у   2022-2023 роках: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30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2023 рік(прогноз)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5</w:t>
            </w:r>
          </w:p>
        </w:tc>
        <w:tc>
          <w:tcPr>
            <w:tcW w:w="12340" w:type="dxa"/>
            <w:gridSpan w:val="8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Забезпечення діяльності  інших закладів у сфері освіти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установ 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Мережа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спеціалістів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робітників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середньорічне число штатних одиниць адмінперсоналу, за умовами оплати    віднесених до педагогічного персоналу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всього -  середньорічне число ставок (штатних одиниць)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42,50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закладів,  які обслуговує установа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особових рахунків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53,00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53,00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53,00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установ, які обслуговує 1 працівник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Облікові дані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51,00</w:t>
            </w: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77F40" w:rsidRDefault="00477F40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477F40" w:rsidRDefault="00477F40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100" w:type="dxa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168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0" w:type="auto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Обов’язкові виплати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1 406 192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1 828 050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3 635 990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3 861 420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4 066 075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посадовий оклад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1 044 200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1 357 460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2 587 500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2 747 925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2 893 565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стимулюючі доплати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339 500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441 350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1 018 490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1 081 635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1 138 962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надбавки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22 492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29 240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31 860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33 548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Премії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457 000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589 833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54 700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57 400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120 000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127 440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134 200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на оздоровлення при наданні щорічної відпустки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54 700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57 400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120 000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127 440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134 200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22 271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39 400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41 844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44 057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років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22 271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39 400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41 844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44 057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1 917 892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2 497 554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3 795 390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4 030 704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4 244 332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 xml:space="preserve">2023 рік 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13,00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13,00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16,00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16,00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28,00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Педагогічні працівники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bottom w:w="4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ind w:left="60"/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17,00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17,00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28,50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28,50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34,50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34,50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34,50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1"/>
            <w:tcMar>
              <w:top w:w="12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1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1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1) місц</w:t>
            </w:r>
            <w:r>
              <w:rPr>
                <w:b/>
              </w:rPr>
              <w:t>еві/регіональні програми, які виконуються в межах бюджетної програми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2) місцеві/регіональні програми, які виконуються в межах бюджетної програми у 2022-2023 роках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0" w:type="auto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0" w:type="auto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12. Об'</w:t>
            </w:r>
            <w:r>
              <w:rPr>
                <w:b/>
              </w:rPr>
              <w:t>єкти, які виконуються в межах бюджетної програми за рахунок коштів бюджету розвитку у 2019 - 2021 роках:</w:t>
            </w:r>
          </w:p>
        </w:tc>
        <w:tc>
          <w:tcPr>
            <w:tcW w:w="0" w:type="auto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0" w:type="auto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2019 рік (звіт)</w:t>
            </w:r>
          </w:p>
        </w:tc>
        <w:tc>
          <w:tcPr>
            <w:tcW w:w="0" w:type="auto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2020 рік (затверджено)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2021 рік (проект)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2023 рік (прогноз)</w:t>
            </w: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</w:t>
            </w:r>
            <w:r>
              <w:rPr>
                <w:sz w:val="16"/>
              </w:rPr>
              <w:t>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2020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36 610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2019 році, очікувані результати у 2020 році, обґрунтування необхідності передбачення витрат на 2021 - 2023 роки.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0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77F40" w:rsidRDefault="001C3A80">
            <w:pPr>
              <w:spacing w:after="200"/>
            </w:pPr>
            <w:r>
              <w:t xml:space="preserve">    1. Для забезпечення організації та ведення бухгалтерського обліку, складання фінансової звітності в управлінні освіти,  створення належних умов для забезпечення належної  централізованої господарської роботи установами  освіти, виконання функцій головн</w:t>
            </w:r>
            <w:r>
              <w:t>ого розпорядника бюджетних коштів у 2019 році було використано 2472912 грн. із загального фонду бюджету, внаслідок чого, відповідно до сформованої мережі розпорядників та одержувачів бюджетних коштів,  було досягнуто запровадження процесу оперативного упра</w:t>
            </w:r>
            <w:r>
              <w:t>вління бюджетними коштами, що дало змогу підвищити якість та ефективність використання бюджетних коштів, та відповідно, обґрунтованість підготовки і прийняття рішень, які охоплюють всі сфери фінансово-господарської діяльності установ - закладів освіти м. Л</w:t>
            </w:r>
            <w:r>
              <w:t>убен.</w:t>
            </w:r>
            <w:r>
              <w:br/>
              <w:t xml:space="preserve"> В 2020 році затверджено 3445966  грн. із загального фонду бюджету, внаслідок чого, відповідно до сформованої мережі розпорядників та одержувачів бюджетних коштів,  було досягнуто запровадження процесу оперативного управління бюджетними коштами, що д</w:t>
            </w:r>
            <w:r>
              <w:t>ало змогу підвищити якість та ефективність використання бюджетних коштів, та відповідно, обґрунтованість підготовки і прийняття рішень, які охоплюють всі сфери фінансово-господарської діяльності установ - закладів освіти м. Лубен.</w:t>
            </w:r>
            <w:r>
              <w:br/>
              <w:t>На 2021р заплановано вико</w:t>
            </w:r>
            <w:r>
              <w:t>ристати із коштів загального фонду місцевого бюджету  на суму 4862180  грн., продовження підвищення якості планування, орієнтованого на кінцевий результат, запровадження в процесі оперативного управління бюджетними коштами системи електронного документообі</w:t>
            </w:r>
            <w:r>
              <w:t>гу з елементами санкціонування електронних документів між розпорядниками бюджетних коштів, місцевими фінансовими органами та органами Казначейства України, підвищення рівня професійної підготовки та бюджетно-правової відповідальності розпорядників бюджетни</w:t>
            </w:r>
            <w:r>
              <w:t>х коштів, підвищення відповідальності розпорядників і одержувачів бюджетних коштів щодо недопущення ними порушень бюджетного законодавства в процесі здійснення видатків,  удосконалення організації внутрішнього фінансового контролю в бюджетних установах, ст</w:t>
            </w:r>
            <w:r>
              <w:t xml:space="preserve">ворення єдиного інформаційного простору між 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180"/>
        </w:trPr>
        <w:tc>
          <w:tcPr>
            <w:tcW w:w="0" w:type="auto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77F40" w:rsidRDefault="001C3A80">
            <w:pPr>
              <w:spacing w:after="200"/>
            </w:pPr>
            <w:r>
              <w:t>розпор</w:t>
            </w:r>
            <w:r>
              <w:t>ядниками бюджетних коштів, забезпечення організації та ведення бухгалтерського  обліку та складання фінансової звітності відповідно до чинного законодавства України.</w:t>
            </w:r>
            <w:r>
              <w:br/>
              <w:t>На 2022 рік прогнозний показник використання коштів із загального фонду 5163635 грн., розр</w:t>
            </w:r>
            <w:r>
              <w:t xml:space="preserve">ахований на підставі постанови КМУ від 29.07.2020р.№671 де до розрахунку КЕКВ  застосовано індекс споживчих цін 106,2% . </w:t>
            </w:r>
            <w:r>
              <w:br/>
              <w:t>На 2023рік прогнозний показник використання коштів із загального фонду 5437308 грн., розрахований на підставі постанови КМУ від 29.07.</w:t>
            </w:r>
            <w:r>
              <w:t>2020р.№671 де до розрахунку КЕКВ  застосовано індекс споживчих цін 105,3% .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 xml:space="preserve">14. Бюджетні зобов'язання у 2019 і 2021 роках : 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1) кредиторська заборгованість місцевого бюджету у 2019 році:</w:t>
            </w: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7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</w:t>
            </w:r>
            <w:r>
              <w:rPr>
                <w:sz w:val="16"/>
              </w:rPr>
              <w:t>ого періоду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9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1 917 892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1 917 892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1 917 892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424 115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424 115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424 115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69 576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69 576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69 576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17 200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17 200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17 200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5 309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5 309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5 309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2 200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2 200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2 200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620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620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620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 xml:space="preserve">2) кредиторська заборгованість місцевого бюджету у   2020-2021 роках: </w:t>
            </w:r>
          </w:p>
        </w:tc>
        <w:tc>
          <w:tcPr>
            <w:tcW w:w="0" w:type="auto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4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t>2020 рік</w:t>
            </w:r>
          </w:p>
        </w:tc>
        <w:tc>
          <w:tcPr>
            <w:tcW w:w="0" w:type="auto"/>
            <w:gridSpan w:val="4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t>2021 рік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8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0" w:type="auto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оч</w:t>
            </w:r>
            <w:r>
              <w:rPr>
                <w:sz w:val="16"/>
              </w:rPr>
              <w:t>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0" w:type="auto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2 497 554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2 497 554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3 795 390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3 795 390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559 950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559 950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655 180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655 180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204 686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204 686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180 000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180 000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43 720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43 720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45 000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45 000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2 100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2 100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0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116 866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116 866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121 610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121 610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4 990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4 990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8 000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8 000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15 362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15 362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312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312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поточні видатки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3 445 966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3 445 966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4 862 180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4 862 180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8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3"/>
            <w:tcMar>
              <w:top w:w="8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rPr>
                <w:b/>
              </w:rPr>
              <w:t>3) дебіторська заборгованість у 2019-2020 роках:</w:t>
            </w:r>
          </w:p>
        </w:tc>
        <w:tc>
          <w:tcPr>
            <w:tcW w:w="0" w:type="auto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77F40" w:rsidRDefault="001C3A8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7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Дебіторська заборгованість на 01.01.2020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01.01.2021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3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4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5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7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8</w:t>
            </w: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  <w:jc w:val="center"/>
            </w:pPr>
            <w:r>
              <w:t>9</w:t>
            </w: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1 917 892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1 917 892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424 115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424 115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69 576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69 576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17 200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17 200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5 309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5 309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2271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теплопостачання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2 200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2 200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6 000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620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620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477F40">
            <w:pPr>
              <w:ind w:left="60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2 472 912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477F40">
            <w:pPr>
              <w:jc w:val="center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6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9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5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pPr>
              <w:ind w:left="400"/>
            </w:pPr>
            <w:r>
              <w:rPr>
                <w:b/>
              </w:rPr>
              <w:t>4) аналіз управління бюджетними зобов'</w:t>
            </w:r>
            <w:r>
              <w:rPr>
                <w:b/>
              </w:rPr>
              <w:t>язаннями та пропозиції щодо упорядкування бюджетних зобов'язань у 2021 році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77F40" w:rsidRDefault="001C3A80">
            <w:pPr>
              <w:spacing w:after="200"/>
              <w:ind w:left="400"/>
              <w:jc w:val="both"/>
            </w:pPr>
            <w:r>
              <w:t>Проводиться систематичний моніторинг для запобігання кредиторської та дебіторської заборгованості.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7F40" w:rsidRDefault="001C3A80">
            <w:r>
              <w:rPr>
                <w:b/>
              </w:rPr>
              <w:t>15. Підстави та обґрунтування видатків спеціального фонду на 2021 рік та на 2022 - 2023 роки за рахунок надходжень до спеціального фонду, аналіз результатів, досягнутих внаслідок використання коштів спеціального фонду бюджету у 2020 році, та очікувані резу</w:t>
            </w:r>
            <w:r>
              <w:rPr>
                <w:b/>
              </w:rPr>
              <w:t>льтати у 2021 році.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77F40" w:rsidRDefault="001C3A80">
            <w:pPr>
              <w:spacing w:after="200"/>
              <w:jc w:val="both"/>
            </w:pPr>
            <w:r>
              <w:t xml:space="preserve"> В 2020 році затверджено  36610  грн. із спеціального фонду бюджету, за рахунок чого було створено необхідні матеріально технічні умови для забезпечення комп’ютеризації установи. 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0" w:type="auto"/>
            <w:gridSpan w:val="2"/>
          </w:tcPr>
          <w:p w:rsidR="00477F40" w:rsidRDefault="00477F40">
            <w:pPr>
              <w:pStyle w:val="EMPTYCELLSTYLE"/>
              <w:pageBreakBefore/>
            </w:pPr>
          </w:p>
        </w:tc>
        <w:tc>
          <w:tcPr>
            <w:tcW w:w="0" w:type="auto"/>
            <w:gridSpan w:val="112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477F40" w:rsidRDefault="001C3A80">
            <w:pPr>
              <w:spacing w:after="200"/>
              <w:jc w:val="both"/>
            </w:pPr>
            <w:r>
              <w:t>На 2021рік заплановано видатків за рахунок власних надходжень від оренди в сумі 20500 грн.</w:t>
            </w: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7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8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ind w:right="60"/>
            </w:pPr>
            <w:r>
              <w:rPr>
                <w:b/>
                <w:sz w:val="16"/>
              </w:rPr>
              <w:t>Начальник</w:t>
            </w: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t>Мирослав КОСТЕНКО</w:t>
            </w:r>
          </w:p>
        </w:tc>
        <w:tc>
          <w:tcPr>
            <w:tcW w:w="0" w:type="auto"/>
            <w:gridSpan w:val="1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320"/>
        </w:trPr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rPr>
                <w:b/>
                <w:sz w:val="16"/>
              </w:rPr>
              <w:t>Головний бухгалтер</w:t>
            </w:r>
          </w:p>
        </w:tc>
        <w:tc>
          <w:tcPr>
            <w:tcW w:w="0" w:type="auto"/>
            <w:gridSpan w:val="11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38"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r>
              <w:t>Олена РОМАНЕНКО</w:t>
            </w:r>
          </w:p>
        </w:tc>
        <w:tc>
          <w:tcPr>
            <w:tcW w:w="0" w:type="auto"/>
            <w:gridSpan w:val="1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  <w:tr w:rsidR="00477F40">
        <w:tblPrEx>
          <w:tblW w:w="0" w:type="nil"/>
          <w:tblInd w:w="0" w:type="nil"/>
          <w:tblCellMar>
            <w:top w:w="0" w:type="dxa"/>
            <w:bottom w:w="0" w:type="dxa"/>
          </w:tblCellMar>
        </w:tblPrEx>
        <w:trPr>
          <w:gridAfter w:val="1"/>
          <w:trHeight w:hRule="exact" w:val="140"/>
        </w:trPr>
        <w:tc>
          <w:tcPr>
            <w:tcW w:w="0" w:type="auto"/>
            <w:gridSpan w:val="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1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0" w:type="auto"/>
            <w:gridSpan w:val="3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7F40" w:rsidRDefault="001C3A80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0" w:type="auto"/>
            <w:gridSpan w:val="12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  <w:tc>
          <w:tcPr>
            <w:tcW w:w="0" w:type="auto"/>
            <w:gridSpan w:val="4"/>
          </w:tcPr>
          <w:p w:rsidR="00477F40" w:rsidRDefault="00477F40">
            <w:pPr>
              <w:pStyle w:val="EMPTYCELLSTYLE"/>
            </w:pPr>
          </w:p>
        </w:tc>
      </w:tr>
    </w:tbl>
    <w:p w:rsidR="001C3A80" w:rsidRDefault="001C3A80"/>
    <w:sectPr w:rsidR="001C3A80" w:rsidSect="00477F4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477F40"/>
    <w:rsid w:val="001C3A80"/>
    <w:rsid w:val="00477F40"/>
    <w:rsid w:val="00BA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77F40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3833</Words>
  <Characters>21853</Characters>
  <Application>Microsoft Office Word</Application>
  <DocSecurity>0</DocSecurity>
  <Lines>182</Lines>
  <Paragraphs>51</Paragraphs>
  <ScaleCrop>false</ScaleCrop>
  <Company/>
  <LinksUpToDate>false</LinksUpToDate>
  <CharactersWithSpaces>25635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2021-01-21T12:06:00Z</dcterms:created>
  <dcterms:modified xsi:type="dcterms:W3CDTF">2021-01-21T12:06:00Z</dcterms:modified>
</cp:coreProperties>
</file>